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5C3" w:rsidRPr="00BF0098" w:rsidRDefault="003F55C3" w:rsidP="00BF0098">
      <w:pPr>
        <w:spacing w:line="360" w:lineRule="auto"/>
        <w:jc w:val="both"/>
        <w:rPr>
          <w:rFonts w:ascii="Arial" w:hAnsi="Arial" w:cs="Arial"/>
          <w:b/>
          <w:sz w:val="24"/>
          <w:szCs w:val="24"/>
        </w:rPr>
      </w:pPr>
      <w:r w:rsidRPr="00BF0098">
        <w:rPr>
          <w:rFonts w:ascii="Arial" w:hAnsi="Arial" w:cs="Arial"/>
          <w:b/>
          <w:sz w:val="24"/>
          <w:szCs w:val="24"/>
        </w:rPr>
        <w:t>Formato de los Capítulos de las Normas.</w:t>
      </w:r>
    </w:p>
    <w:p w:rsidR="003F55C3" w:rsidRPr="00BF0098" w:rsidRDefault="003F55C3" w:rsidP="00BF0098">
      <w:pPr>
        <w:pStyle w:val="Prrafodelista"/>
        <w:numPr>
          <w:ilvl w:val="0"/>
          <w:numId w:val="3"/>
        </w:numPr>
        <w:spacing w:line="360" w:lineRule="auto"/>
        <w:jc w:val="both"/>
        <w:rPr>
          <w:rFonts w:ascii="Arial" w:hAnsi="Arial" w:cs="Arial"/>
          <w:sz w:val="24"/>
          <w:szCs w:val="24"/>
        </w:rPr>
      </w:pPr>
      <w:r w:rsidRPr="00BF0098">
        <w:rPr>
          <w:rFonts w:ascii="Arial" w:hAnsi="Arial" w:cs="Arial"/>
          <w:b/>
          <w:sz w:val="24"/>
          <w:szCs w:val="24"/>
        </w:rPr>
        <w:t>Título del tema</w:t>
      </w:r>
      <w:r w:rsidRPr="00BF0098">
        <w:rPr>
          <w:rFonts w:ascii="Arial" w:hAnsi="Arial" w:cs="Arial"/>
          <w:sz w:val="24"/>
          <w:szCs w:val="24"/>
        </w:rPr>
        <w:t>: .Alteraciones hidroelectrolíticas y acido básicas más frecuentes en pediatría</w:t>
      </w:r>
    </w:p>
    <w:p w:rsidR="003F55C3" w:rsidRPr="00BF0098" w:rsidRDefault="003F55C3" w:rsidP="00BF0098">
      <w:pPr>
        <w:pStyle w:val="Prrafodelista"/>
        <w:spacing w:line="360" w:lineRule="auto"/>
        <w:jc w:val="both"/>
        <w:rPr>
          <w:rFonts w:ascii="Arial" w:hAnsi="Arial" w:cs="Arial"/>
          <w:sz w:val="24"/>
          <w:szCs w:val="24"/>
        </w:rPr>
      </w:pPr>
      <w:r w:rsidRPr="00BF0098">
        <w:rPr>
          <w:rFonts w:ascii="Arial" w:hAnsi="Arial" w:cs="Arial"/>
          <w:sz w:val="24"/>
          <w:szCs w:val="24"/>
        </w:rPr>
        <w:t>Alteraciones del sodio.</w:t>
      </w:r>
    </w:p>
    <w:p w:rsidR="003F55C3" w:rsidRPr="00BF0098" w:rsidRDefault="003F55C3" w:rsidP="00BF0098">
      <w:pPr>
        <w:pStyle w:val="Textoindependiente"/>
        <w:numPr>
          <w:ilvl w:val="0"/>
          <w:numId w:val="3"/>
        </w:numPr>
        <w:spacing w:line="360" w:lineRule="auto"/>
        <w:jc w:val="both"/>
        <w:rPr>
          <w:rFonts w:ascii="Arial" w:hAnsi="Arial" w:cs="Arial"/>
          <w:iCs/>
          <w:lang w:val="es-ES"/>
        </w:rPr>
      </w:pPr>
      <w:r w:rsidRPr="00BF0098">
        <w:rPr>
          <w:rFonts w:ascii="Arial" w:hAnsi="Arial" w:cs="Arial"/>
          <w:b/>
          <w:lang w:val="es-ES"/>
        </w:rPr>
        <w:t>Concepto</w:t>
      </w:r>
      <w:r w:rsidRPr="00BF0098">
        <w:rPr>
          <w:rFonts w:ascii="Arial" w:hAnsi="Arial" w:cs="Arial"/>
          <w:lang w:val="es-ES"/>
        </w:rPr>
        <w:t xml:space="preserve">. EI sodio es el principal catión de liquido extracelular y el principal soluto osmóticamente activo, responsable del mantenimiento de los volúmenes intravasculares e intersticiales .Su concentración es de 140 </w:t>
      </w:r>
      <w:r w:rsidRPr="00BF0098">
        <w:rPr>
          <w:rFonts w:ascii="Arial" w:hAnsi="Arial" w:cs="Arial"/>
          <w:iCs/>
          <w:lang w:val="es-ES"/>
        </w:rPr>
        <w:t xml:space="preserve">mmol/L </w:t>
      </w:r>
      <w:r w:rsidRPr="00BF0098">
        <w:rPr>
          <w:rFonts w:ascii="Arial" w:hAnsi="Arial" w:cs="Arial"/>
          <w:lang w:val="es-ES"/>
        </w:rPr>
        <w:t xml:space="preserve">en el espacio extracelular (EEC), mientras que en el intracelular (EIC) es de 10 </w:t>
      </w:r>
      <w:r w:rsidRPr="00BF0098">
        <w:rPr>
          <w:rFonts w:ascii="Arial" w:hAnsi="Arial" w:cs="Arial"/>
          <w:iCs/>
          <w:lang w:val="es-ES"/>
        </w:rPr>
        <w:t>mmo/L . Las variaciones de la concentración del sodio en el espacio extracelular se denomina hiponatremia si es inferior a 135mEq/L  e hipernatremia si es superior a 150 mEq/L</w:t>
      </w:r>
    </w:p>
    <w:p w:rsidR="003F55C3" w:rsidRPr="00BF0098" w:rsidRDefault="003F55C3" w:rsidP="00BF0098">
      <w:pPr>
        <w:pStyle w:val="Style"/>
        <w:tabs>
          <w:tab w:val="left" w:pos="9360"/>
        </w:tabs>
        <w:spacing w:line="360" w:lineRule="auto"/>
        <w:ind w:right="-264"/>
        <w:jc w:val="both"/>
        <w:rPr>
          <w:rFonts w:ascii="Arial" w:hAnsi="Arial" w:cs="Arial"/>
          <w:bCs/>
          <w:lang w:val="es-ES"/>
        </w:rPr>
      </w:pPr>
      <w:r w:rsidRPr="00BF0098">
        <w:rPr>
          <w:rFonts w:ascii="Arial" w:hAnsi="Arial" w:cs="Arial"/>
          <w:bCs/>
          <w:lang w:val="es-ES"/>
        </w:rPr>
        <w:t>HIPONATREMIA</w:t>
      </w:r>
    </w:p>
    <w:p w:rsidR="003F55C3" w:rsidRPr="00BF0098" w:rsidRDefault="003F55C3" w:rsidP="00BF0098">
      <w:pPr>
        <w:pStyle w:val="Style"/>
        <w:spacing w:line="360" w:lineRule="auto"/>
        <w:jc w:val="both"/>
        <w:rPr>
          <w:rFonts w:ascii="Arial" w:hAnsi="Arial" w:cs="Arial"/>
          <w:lang w:val="es-ES"/>
        </w:rPr>
      </w:pPr>
      <w:r w:rsidRPr="00BF0098">
        <w:rPr>
          <w:rFonts w:ascii="Arial" w:hAnsi="Arial" w:cs="Arial"/>
          <w:lang w:val="es-ES"/>
        </w:rPr>
        <w:t xml:space="preserve">La hiponatremia es un trastorno electrolítico caracterizado por una concentración de sodio menor que 135 mmollL  que  ocurre en el  1.5 % de los niños hospitalizados. </w:t>
      </w:r>
    </w:p>
    <w:p w:rsidR="003F55C3" w:rsidRPr="00BF0098" w:rsidRDefault="003F55C3" w:rsidP="00BF0098">
      <w:pPr>
        <w:spacing w:line="360" w:lineRule="auto"/>
        <w:ind w:right="-84"/>
        <w:jc w:val="both"/>
        <w:rPr>
          <w:rFonts w:ascii="Arial" w:hAnsi="Arial" w:cs="Arial"/>
          <w:sz w:val="24"/>
          <w:szCs w:val="24"/>
          <w:lang w:val="es-ES"/>
        </w:rPr>
      </w:pPr>
      <w:r w:rsidRPr="00BF0098">
        <w:rPr>
          <w:rFonts w:ascii="Arial" w:hAnsi="Arial" w:cs="Arial"/>
          <w:sz w:val="24"/>
          <w:szCs w:val="24"/>
          <w:lang w:val="es-ES"/>
        </w:rPr>
        <w:t>Generalmente  es una manifestación que provoca otro estado morboso y se acom</w:t>
      </w:r>
      <w:r w:rsidRPr="00BF0098">
        <w:rPr>
          <w:rFonts w:ascii="Arial" w:hAnsi="Arial" w:cs="Arial"/>
          <w:sz w:val="24"/>
          <w:szCs w:val="24"/>
          <w:lang w:val="es-ES"/>
        </w:rPr>
        <w:softHyphen/>
        <w:t>paña de hipovolemia, euvolemia ó</w:t>
      </w:r>
      <w:r w:rsidRPr="00BF0098">
        <w:rPr>
          <w:rFonts w:ascii="Arial" w:hAnsi="Arial" w:cs="Arial"/>
          <w:w w:val="143"/>
          <w:sz w:val="24"/>
          <w:szCs w:val="24"/>
          <w:lang w:val="es-ES"/>
        </w:rPr>
        <w:t xml:space="preserve"> </w:t>
      </w:r>
      <w:r w:rsidRPr="00BF0098">
        <w:rPr>
          <w:rFonts w:ascii="Arial" w:hAnsi="Arial" w:cs="Arial"/>
          <w:sz w:val="24"/>
          <w:szCs w:val="24"/>
          <w:lang w:val="es-ES"/>
        </w:rPr>
        <w:t>hipervolemia</w:t>
      </w:r>
    </w:p>
    <w:p w:rsidR="003F55C3" w:rsidRPr="00BF0098" w:rsidRDefault="003F55C3" w:rsidP="00BF0098">
      <w:pPr>
        <w:pStyle w:val="Prrafodelista"/>
        <w:spacing w:line="360" w:lineRule="auto"/>
        <w:ind w:left="0"/>
        <w:jc w:val="both"/>
        <w:rPr>
          <w:rFonts w:ascii="Arial" w:hAnsi="Arial" w:cs="Arial"/>
          <w:b/>
          <w:sz w:val="24"/>
          <w:szCs w:val="24"/>
        </w:rPr>
      </w:pPr>
      <w:r w:rsidRPr="00BF0098">
        <w:rPr>
          <w:rFonts w:ascii="Arial" w:hAnsi="Arial" w:cs="Arial"/>
          <w:b/>
          <w:sz w:val="24"/>
          <w:szCs w:val="24"/>
        </w:rPr>
        <w:t xml:space="preserve">         3 .Etiología.</w:t>
      </w:r>
    </w:p>
    <w:tbl>
      <w:tblPr>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00"/>
        <w:gridCol w:w="2377"/>
        <w:gridCol w:w="2663"/>
        <w:gridCol w:w="2520"/>
      </w:tblGrid>
      <w:tr w:rsidR="003F55C3" w:rsidRPr="00BF0098" w:rsidTr="008969F7">
        <w:tc>
          <w:tcPr>
            <w:tcW w:w="1800" w:type="dxa"/>
          </w:tcPr>
          <w:p w:rsidR="003F55C3" w:rsidRPr="00BF0098" w:rsidRDefault="003F55C3" w:rsidP="00BF0098">
            <w:pPr>
              <w:spacing w:line="360" w:lineRule="auto"/>
              <w:jc w:val="both"/>
              <w:rPr>
                <w:rFonts w:ascii="Arial" w:hAnsi="Arial" w:cs="Arial"/>
                <w:sz w:val="24"/>
                <w:szCs w:val="24"/>
                <w:lang w:val="pt-BR"/>
              </w:rPr>
            </w:pPr>
            <w:r w:rsidRPr="00BF0098">
              <w:rPr>
                <w:rFonts w:ascii="Arial" w:hAnsi="Arial" w:cs="Arial"/>
                <w:sz w:val="24"/>
                <w:szCs w:val="24"/>
                <w:lang w:val="pt-BR"/>
              </w:rPr>
              <w:t>Hiponatremias Euvolémicas</w:t>
            </w:r>
          </w:p>
          <w:p w:rsidR="003F55C3" w:rsidRPr="00BF0098" w:rsidRDefault="003F55C3" w:rsidP="00BF0098">
            <w:pPr>
              <w:spacing w:line="360" w:lineRule="auto"/>
              <w:jc w:val="both"/>
              <w:rPr>
                <w:rFonts w:ascii="Arial" w:hAnsi="Arial" w:cs="Arial"/>
                <w:sz w:val="24"/>
                <w:szCs w:val="24"/>
                <w:lang w:val="pt-BR"/>
              </w:rPr>
            </w:pPr>
            <w:r w:rsidRPr="00BF0098">
              <w:rPr>
                <w:rFonts w:ascii="Arial" w:hAnsi="Arial" w:cs="Arial"/>
                <w:sz w:val="24"/>
                <w:szCs w:val="24"/>
                <w:lang w:val="pt-BR"/>
              </w:rPr>
              <w:t>Na CT normal</w:t>
            </w:r>
          </w:p>
        </w:tc>
        <w:tc>
          <w:tcPr>
            <w:tcW w:w="2377" w:type="dxa"/>
            <w:tcBorders>
              <w:right w:val="nil"/>
            </w:tcBorders>
          </w:tcPr>
          <w:p w:rsidR="003F55C3" w:rsidRPr="00BF0098" w:rsidRDefault="003F55C3" w:rsidP="00BF0098">
            <w:pPr>
              <w:spacing w:line="360" w:lineRule="auto"/>
              <w:rPr>
                <w:rFonts w:ascii="Arial" w:hAnsi="Arial" w:cs="Arial"/>
                <w:sz w:val="24"/>
                <w:szCs w:val="24"/>
                <w:lang w:val="es-ES"/>
              </w:rPr>
            </w:pPr>
            <w:r w:rsidRPr="00BF0098">
              <w:rPr>
                <w:rFonts w:ascii="Arial" w:hAnsi="Arial" w:cs="Arial"/>
                <w:sz w:val="24"/>
                <w:szCs w:val="24"/>
                <w:lang w:val="es-ES"/>
              </w:rPr>
              <w:t xml:space="preserve">               </w:t>
            </w:r>
            <w:r w:rsidR="00831C48" w:rsidRPr="00BF0098">
              <w:rPr>
                <w:rFonts w:ascii="Arial" w:hAnsi="Arial" w:cs="Arial"/>
                <w:sz w:val="24"/>
                <w:szCs w:val="24"/>
                <w:lang w:val="es-ES"/>
              </w:rPr>
              <w:t xml:space="preserve">  </w:t>
            </w:r>
            <w:r w:rsidRPr="00BF0098">
              <w:rPr>
                <w:rFonts w:ascii="Arial" w:hAnsi="Arial" w:cs="Arial"/>
                <w:sz w:val="24"/>
                <w:szCs w:val="24"/>
                <w:lang w:val="es-ES"/>
              </w:rPr>
              <w:t>Hiponatremias</w:t>
            </w:r>
            <w:r w:rsidR="00831C48" w:rsidRPr="00BF0098">
              <w:rPr>
                <w:rFonts w:ascii="Arial" w:hAnsi="Arial" w:cs="Arial"/>
                <w:sz w:val="24"/>
                <w:szCs w:val="24"/>
                <w:lang w:val="es-ES"/>
              </w:rPr>
              <w:t xml:space="preserve"> Hipovolemicas con NaCT bajo</w:t>
            </w:r>
          </w:p>
          <w:p w:rsidR="003F55C3" w:rsidRPr="00BF0098" w:rsidRDefault="003F55C3" w:rsidP="00BF0098">
            <w:pPr>
              <w:spacing w:line="360" w:lineRule="auto"/>
              <w:rPr>
                <w:rFonts w:ascii="Arial" w:hAnsi="Arial" w:cs="Arial"/>
                <w:sz w:val="24"/>
                <w:szCs w:val="24"/>
                <w:lang w:val="es-ES"/>
              </w:rPr>
            </w:pPr>
            <w:r w:rsidRPr="00BF0098">
              <w:rPr>
                <w:rFonts w:ascii="Arial" w:hAnsi="Arial" w:cs="Arial"/>
                <w:sz w:val="24"/>
                <w:szCs w:val="24"/>
                <w:lang w:val="es-ES"/>
              </w:rPr>
              <w:t xml:space="preserve">              </w:t>
            </w:r>
          </w:p>
        </w:tc>
        <w:tc>
          <w:tcPr>
            <w:tcW w:w="2663" w:type="dxa"/>
            <w:tcBorders>
              <w:left w:val="nil"/>
            </w:tcBorders>
          </w:tcPr>
          <w:p w:rsidR="00831C48" w:rsidRPr="00BF0098" w:rsidRDefault="00831C48" w:rsidP="00BF0098">
            <w:pPr>
              <w:spacing w:line="360" w:lineRule="auto"/>
              <w:rPr>
                <w:rFonts w:ascii="Arial" w:hAnsi="Arial" w:cs="Arial"/>
                <w:sz w:val="24"/>
                <w:szCs w:val="24"/>
                <w:lang w:val="es-ES"/>
              </w:rPr>
            </w:pPr>
          </w:p>
          <w:p w:rsidR="003F55C3" w:rsidRPr="00BF0098" w:rsidRDefault="003F55C3" w:rsidP="00BF0098">
            <w:pPr>
              <w:spacing w:line="360" w:lineRule="auto"/>
              <w:rPr>
                <w:rFonts w:ascii="Arial" w:hAnsi="Arial" w:cs="Arial"/>
                <w:sz w:val="24"/>
                <w:szCs w:val="24"/>
                <w:lang w:val="es-ES"/>
              </w:rPr>
            </w:pPr>
          </w:p>
        </w:tc>
        <w:tc>
          <w:tcPr>
            <w:tcW w:w="2520" w:type="dxa"/>
          </w:tcPr>
          <w:p w:rsidR="003F55C3" w:rsidRPr="00BF0098" w:rsidRDefault="003F55C3" w:rsidP="00BF0098">
            <w:pPr>
              <w:spacing w:line="360" w:lineRule="auto"/>
              <w:jc w:val="both"/>
              <w:rPr>
                <w:rFonts w:ascii="Arial" w:hAnsi="Arial" w:cs="Arial"/>
                <w:sz w:val="24"/>
                <w:szCs w:val="24"/>
                <w:lang w:val="pt-BR"/>
              </w:rPr>
            </w:pPr>
            <w:r w:rsidRPr="00BF0098">
              <w:rPr>
                <w:rFonts w:ascii="Arial" w:hAnsi="Arial" w:cs="Arial"/>
                <w:sz w:val="24"/>
                <w:szCs w:val="24"/>
                <w:lang w:val="pt-BR"/>
              </w:rPr>
              <w:t>Hiponatremia.</w:t>
            </w:r>
          </w:p>
          <w:p w:rsidR="003F55C3" w:rsidRPr="00BF0098" w:rsidRDefault="003F55C3" w:rsidP="00BF0098">
            <w:pPr>
              <w:spacing w:line="360" w:lineRule="auto"/>
              <w:jc w:val="both"/>
              <w:rPr>
                <w:rFonts w:ascii="Arial" w:hAnsi="Arial" w:cs="Arial"/>
                <w:sz w:val="24"/>
                <w:szCs w:val="24"/>
                <w:lang w:val="pt-BR"/>
              </w:rPr>
            </w:pPr>
            <w:r w:rsidRPr="00BF0098">
              <w:rPr>
                <w:rFonts w:ascii="Arial" w:hAnsi="Arial" w:cs="Arial"/>
                <w:sz w:val="24"/>
                <w:szCs w:val="24"/>
                <w:lang w:val="pt-BR"/>
              </w:rPr>
              <w:t>Hipervolémica</w:t>
            </w:r>
          </w:p>
          <w:p w:rsidR="003F55C3" w:rsidRPr="00BF0098" w:rsidRDefault="003F55C3" w:rsidP="00BF0098">
            <w:pPr>
              <w:spacing w:line="360" w:lineRule="auto"/>
              <w:jc w:val="both"/>
              <w:rPr>
                <w:rFonts w:ascii="Arial" w:hAnsi="Arial" w:cs="Arial"/>
                <w:sz w:val="24"/>
                <w:szCs w:val="24"/>
                <w:lang w:val="pt-BR"/>
              </w:rPr>
            </w:pPr>
            <w:r w:rsidRPr="00BF0098">
              <w:rPr>
                <w:rFonts w:ascii="Arial" w:hAnsi="Arial" w:cs="Arial"/>
                <w:sz w:val="24"/>
                <w:szCs w:val="24"/>
                <w:lang w:val="pt-BR"/>
              </w:rPr>
              <w:t xml:space="preserve">Na CT elevado </w:t>
            </w:r>
          </w:p>
        </w:tc>
      </w:tr>
      <w:tr w:rsidR="003F55C3" w:rsidRPr="00BF0098" w:rsidTr="008969F7">
        <w:tc>
          <w:tcPr>
            <w:tcW w:w="1800" w:type="dxa"/>
            <w:vAlign w:val="center"/>
          </w:tcPr>
          <w:p w:rsidR="003F55C3" w:rsidRPr="00BF0098" w:rsidRDefault="003F55C3" w:rsidP="00BF0098">
            <w:pPr>
              <w:spacing w:line="360" w:lineRule="auto"/>
              <w:jc w:val="both"/>
              <w:rPr>
                <w:rFonts w:ascii="Arial" w:hAnsi="Arial" w:cs="Arial"/>
                <w:sz w:val="24"/>
                <w:szCs w:val="24"/>
                <w:lang w:val="es-ES"/>
              </w:rPr>
            </w:pPr>
            <w:r w:rsidRPr="00BF0098">
              <w:rPr>
                <w:rFonts w:ascii="Arial" w:hAnsi="Arial" w:cs="Arial"/>
                <w:sz w:val="24"/>
                <w:szCs w:val="24"/>
                <w:lang w:val="es-ES"/>
              </w:rPr>
              <w:t>SSIHAD</w:t>
            </w:r>
          </w:p>
          <w:p w:rsidR="003F55C3" w:rsidRPr="00BF0098" w:rsidRDefault="003F55C3" w:rsidP="00BF0098">
            <w:pPr>
              <w:spacing w:line="360" w:lineRule="auto"/>
              <w:jc w:val="both"/>
              <w:rPr>
                <w:rFonts w:ascii="Arial" w:hAnsi="Arial" w:cs="Arial"/>
                <w:sz w:val="24"/>
                <w:szCs w:val="24"/>
                <w:lang w:val="es-ES"/>
              </w:rPr>
            </w:pPr>
            <w:r w:rsidRPr="00BF0098">
              <w:rPr>
                <w:rFonts w:ascii="Arial" w:hAnsi="Arial" w:cs="Arial"/>
                <w:sz w:val="24"/>
                <w:szCs w:val="24"/>
                <w:lang w:val="es-ES"/>
              </w:rPr>
              <w:t>PostoperatorioDrogas</w:t>
            </w:r>
          </w:p>
          <w:p w:rsidR="003F55C3" w:rsidRPr="00BF0098" w:rsidRDefault="003F55C3" w:rsidP="00BF0098">
            <w:pPr>
              <w:spacing w:line="360" w:lineRule="auto"/>
              <w:jc w:val="both"/>
              <w:rPr>
                <w:rFonts w:ascii="Arial" w:hAnsi="Arial" w:cs="Arial"/>
                <w:sz w:val="24"/>
                <w:szCs w:val="24"/>
                <w:lang w:val="es-ES"/>
              </w:rPr>
            </w:pPr>
            <w:r w:rsidRPr="00BF0098">
              <w:rPr>
                <w:rFonts w:ascii="Arial" w:hAnsi="Arial" w:cs="Arial"/>
                <w:sz w:val="24"/>
                <w:szCs w:val="24"/>
                <w:lang w:val="es-ES"/>
              </w:rPr>
              <w:t>Intoxicación acuosa</w:t>
            </w:r>
          </w:p>
          <w:p w:rsidR="003F55C3" w:rsidRPr="00BF0098" w:rsidRDefault="003F55C3" w:rsidP="00BF0098">
            <w:pPr>
              <w:spacing w:line="360" w:lineRule="auto"/>
              <w:jc w:val="both"/>
              <w:rPr>
                <w:rFonts w:ascii="Arial" w:hAnsi="Arial" w:cs="Arial"/>
                <w:sz w:val="24"/>
                <w:szCs w:val="24"/>
                <w:lang w:val="es-ES"/>
              </w:rPr>
            </w:pPr>
            <w:r w:rsidRPr="00BF0098">
              <w:rPr>
                <w:rFonts w:ascii="Arial" w:hAnsi="Arial" w:cs="Arial"/>
                <w:sz w:val="24"/>
                <w:szCs w:val="24"/>
                <w:lang w:val="es-ES"/>
              </w:rPr>
              <w:lastRenderedPageBreak/>
              <w:t>Infecciones</w:t>
            </w:r>
          </w:p>
          <w:p w:rsidR="003F55C3" w:rsidRPr="00BF0098" w:rsidRDefault="003F55C3" w:rsidP="00BF0098">
            <w:pPr>
              <w:spacing w:line="360" w:lineRule="auto"/>
              <w:jc w:val="both"/>
              <w:rPr>
                <w:rFonts w:ascii="Arial" w:hAnsi="Arial" w:cs="Arial"/>
                <w:sz w:val="24"/>
                <w:szCs w:val="24"/>
                <w:lang w:val="es-ES"/>
              </w:rPr>
            </w:pPr>
            <w:r w:rsidRPr="00BF0098">
              <w:rPr>
                <w:rFonts w:ascii="Arial" w:hAnsi="Arial" w:cs="Arial"/>
                <w:sz w:val="24"/>
                <w:szCs w:val="24"/>
                <w:lang w:val="es-ES"/>
              </w:rPr>
              <w:t>Hipotiroidismo</w:t>
            </w:r>
          </w:p>
          <w:p w:rsidR="003F55C3" w:rsidRPr="00BF0098" w:rsidRDefault="003F55C3" w:rsidP="00BF0098">
            <w:pPr>
              <w:spacing w:line="360" w:lineRule="auto"/>
              <w:jc w:val="both"/>
              <w:rPr>
                <w:rFonts w:ascii="Arial" w:hAnsi="Arial" w:cs="Arial"/>
                <w:sz w:val="24"/>
                <w:szCs w:val="24"/>
                <w:lang w:val="es-ES"/>
              </w:rPr>
            </w:pPr>
            <w:r w:rsidRPr="00BF0098">
              <w:rPr>
                <w:rFonts w:ascii="Arial" w:hAnsi="Arial" w:cs="Arial"/>
                <w:sz w:val="24"/>
                <w:szCs w:val="24"/>
                <w:lang w:val="es-ES"/>
              </w:rPr>
              <w:t>Polidipsia</w:t>
            </w:r>
          </w:p>
          <w:p w:rsidR="003F55C3" w:rsidRPr="00BF0098" w:rsidRDefault="003F55C3" w:rsidP="00BF0098">
            <w:pPr>
              <w:spacing w:line="360" w:lineRule="auto"/>
              <w:jc w:val="both"/>
              <w:rPr>
                <w:rFonts w:ascii="Arial" w:hAnsi="Arial" w:cs="Arial"/>
                <w:sz w:val="24"/>
                <w:szCs w:val="24"/>
                <w:lang w:val="es-ES"/>
              </w:rPr>
            </w:pPr>
            <w:r w:rsidRPr="00BF0098">
              <w:rPr>
                <w:rFonts w:ascii="Arial" w:hAnsi="Arial" w:cs="Arial"/>
                <w:sz w:val="24"/>
                <w:szCs w:val="24"/>
                <w:lang w:val="es-ES"/>
              </w:rPr>
              <w:t>A.V.E</w:t>
            </w:r>
          </w:p>
        </w:tc>
        <w:tc>
          <w:tcPr>
            <w:tcW w:w="2377" w:type="dxa"/>
            <w:tcBorders>
              <w:right w:val="nil"/>
            </w:tcBorders>
            <w:vAlign w:val="center"/>
          </w:tcPr>
          <w:p w:rsidR="003F55C3" w:rsidRPr="00BF0098" w:rsidRDefault="003F55C3" w:rsidP="00BF0098">
            <w:pPr>
              <w:spacing w:line="360" w:lineRule="auto"/>
              <w:jc w:val="both"/>
              <w:rPr>
                <w:rFonts w:ascii="Arial" w:hAnsi="Arial" w:cs="Arial"/>
                <w:sz w:val="24"/>
                <w:szCs w:val="24"/>
                <w:u w:val="single"/>
                <w:lang w:val="es-ES"/>
              </w:rPr>
            </w:pPr>
            <w:r w:rsidRPr="00BF0098">
              <w:rPr>
                <w:rFonts w:ascii="Arial" w:hAnsi="Arial" w:cs="Arial"/>
                <w:sz w:val="24"/>
                <w:szCs w:val="24"/>
                <w:u w:val="single"/>
                <w:lang w:val="es-ES"/>
              </w:rPr>
              <w:lastRenderedPageBreak/>
              <w:t>Perdidas renales</w:t>
            </w:r>
          </w:p>
          <w:p w:rsidR="003F55C3" w:rsidRPr="00BF0098" w:rsidRDefault="003F55C3" w:rsidP="00BF0098">
            <w:pPr>
              <w:spacing w:line="360" w:lineRule="auto"/>
              <w:jc w:val="both"/>
              <w:rPr>
                <w:rFonts w:ascii="Arial" w:hAnsi="Arial" w:cs="Arial"/>
                <w:sz w:val="24"/>
                <w:szCs w:val="24"/>
                <w:lang w:val="es-ES"/>
              </w:rPr>
            </w:pPr>
            <w:r w:rsidRPr="00BF0098">
              <w:rPr>
                <w:rFonts w:ascii="Arial" w:hAnsi="Arial" w:cs="Arial"/>
                <w:sz w:val="24"/>
                <w:szCs w:val="24"/>
                <w:lang w:val="es-ES"/>
              </w:rPr>
              <w:t>Exceso  diuréticos</w:t>
            </w:r>
          </w:p>
          <w:p w:rsidR="003F55C3" w:rsidRPr="00BF0098" w:rsidRDefault="003F55C3" w:rsidP="00BF0098">
            <w:pPr>
              <w:spacing w:line="360" w:lineRule="auto"/>
              <w:jc w:val="both"/>
              <w:rPr>
                <w:rFonts w:ascii="Arial" w:hAnsi="Arial" w:cs="Arial"/>
                <w:sz w:val="24"/>
                <w:szCs w:val="24"/>
                <w:lang w:val="es-ES"/>
              </w:rPr>
            </w:pPr>
            <w:r w:rsidRPr="00BF0098">
              <w:rPr>
                <w:rFonts w:ascii="Arial" w:hAnsi="Arial" w:cs="Arial"/>
                <w:sz w:val="24"/>
                <w:szCs w:val="24"/>
                <w:lang w:val="es-ES"/>
              </w:rPr>
              <w:t>Alcalosis metab.</w:t>
            </w:r>
          </w:p>
          <w:p w:rsidR="003F55C3" w:rsidRPr="00BF0098" w:rsidRDefault="003F55C3" w:rsidP="00BF0098">
            <w:pPr>
              <w:spacing w:line="360" w:lineRule="auto"/>
              <w:jc w:val="both"/>
              <w:rPr>
                <w:rFonts w:ascii="Arial" w:hAnsi="Arial" w:cs="Arial"/>
                <w:sz w:val="24"/>
                <w:szCs w:val="24"/>
                <w:lang w:val="es-ES"/>
              </w:rPr>
            </w:pPr>
            <w:r w:rsidRPr="00BF0098">
              <w:rPr>
                <w:rFonts w:ascii="Arial" w:hAnsi="Arial" w:cs="Arial"/>
                <w:sz w:val="24"/>
                <w:szCs w:val="24"/>
                <w:lang w:val="es-ES"/>
              </w:rPr>
              <w:t>Nefrop</w:t>
            </w:r>
            <w:r w:rsidR="00831C48" w:rsidRPr="00BF0098">
              <w:rPr>
                <w:rFonts w:ascii="Arial" w:hAnsi="Arial" w:cs="Arial"/>
                <w:sz w:val="24"/>
                <w:szCs w:val="24"/>
                <w:lang w:val="es-ES"/>
              </w:rPr>
              <w:t xml:space="preserve">atia perdedora </w:t>
            </w:r>
            <w:r w:rsidRPr="00BF0098">
              <w:rPr>
                <w:rFonts w:ascii="Arial" w:hAnsi="Arial" w:cs="Arial"/>
                <w:sz w:val="24"/>
                <w:szCs w:val="24"/>
                <w:lang w:val="es-ES"/>
              </w:rPr>
              <w:t xml:space="preserve"> </w:t>
            </w:r>
            <w:r w:rsidR="00831C48" w:rsidRPr="00BF0098">
              <w:rPr>
                <w:rFonts w:ascii="Arial" w:hAnsi="Arial" w:cs="Arial"/>
                <w:sz w:val="24"/>
                <w:szCs w:val="24"/>
                <w:lang w:val="es-ES"/>
              </w:rPr>
              <w:t xml:space="preserve">de </w:t>
            </w:r>
            <w:r w:rsidRPr="00BF0098">
              <w:rPr>
                <w:rFonts w:ascii="Arial" w:hAnsi="Arial" w:cs="Arial"/>
                <w:sz w:val="24"/>
                <w:szCs w:val="24"/>
                <w:lang w:val="es-ES"/>
              </w:rPr>
              <w:t>sal</w:t>
            </w:r>
          </w:p>
          <w:p w:rsidR="003F55C3" w:rsidRPr="00BF0098" w:rsidRDefault="003F55C3" w:rsidP="00BF0098">
            <w:pPr>
              <w:spacing w:line="360" w:lineRule="auto"/>
              <w:jc w:val="both"/>
              <w:rPr>
                <w:rFonts w:ascii="Arial" w:hAnsi="Arial" w:cs="Arial"/>
                <w:sz w:val="24"/>
                <w:szCs w:val="24"/>
                <w:lang w:val="es-ES"/>
              </w:rPr>
            </w:pPr>
            <w:r w:rsidRPr="00BF0098">
              <w:rPr>
                <w:rFonts w:ascii="Arial" w:hAnsi="Arial" w:cs="Arial"/>
                <w:sz w:val="24"/>
                <w:szCs w:val="24"/>
                <w:lang w:val="es-ES"/>
              </w:rPr>
              <w:lastRenderedPageBreak/>
              <w:t>Uropatía obstructiva</w:t>
            </w:r>
          </w:p>
          <w:p w:rsidR="003F55C3" w:rsidRPr="00BF0098" w:rsidRDefault="003F55C3" w:rsidP="00BF0098">
            <w:pPr>
              <w:spacing w:line="360" w:lineRule="auto"/>
              <w:jc w:val="both"/>
              <w:rPr>
                <w:rFonts w:ascii="Arial" w:hAnsi="Arial" w:cs="Arial"/>
                <w:sz w:val="24"/>
                <w:szCs w:val="24"/>
                <w:lang w:val="es-ES"/>
              </w:rPr>
            </w:pPr>
            <w:r w:rsidRPr="00BF0098">
              <w:rPr>
                <w:rFonts w:ascii="Arial" w:hAnsi="Arial" w:cs="Arial"/>
                <w:sz w:val="24"/>
                <w:szCs w:val="24"/>
                <w:lang w:val="es-ES"/>
              </w:rPr>
              <w:t>Diuresis osmótica</w:t>
            </w:r>
          </w:p>
          <w:p w:rsidR="003F55C3" w:rsidRPr="00BF0098" w:rsidRDefault="003F55C3" w:rsidP="00BF0098">
            <w:pPr>
              <w:spacing w:line="360" w:lineRule="auto"/>
              <w:jc w:val="both"/>
              <w:rPr>
                <w:rFonts w:ascii="Arial" w:hAnsi="Arial" w:cs="Arial"/>
                <w:sz w:val="24"/>
                <w:szCs w:val="24"/>
                <w:lang w:val="es-ES"/>
              </w:rPr>
            </w:pPr>
            <w:r w:rsidRPr="00BF0098">
              <w:rPr>
                <w:rFonts w:ascii="Arial" w:hAnsi="Arial" w:cs="Arial"/>
                <w:sz w:val="24"/>
                <w:szCs w:val="24"/>
                <w:lang w:val="es-ES"/>
              </w:rPr>
              <w:t>Insf. Mineralocort.</w:t>
            </w:r>
          </w:p>
        </w:tc>
        <w:tc>
          <w:tcPr>
            <w:tcW w:w="2663" w:type="dxa"/>
            <w:tcBorders>
              <w:left w:val="nil"/>
            </w:tcBorders>
            <w:vAlign w:val="center"/>
          </w:tcPr>
          <w:p w:rsidR="003F55C3" w:rsidRPr="00BF0098" w:rsidRDefault="003F55C3" w:rsidP="00BF0098">
            <w:pPr>
              <w:spacing w:line="360" w:lineRule="auto"/>
              <w:jc w:val="both"/>
              <w:rPr>
                <w:rFonts w:ascii="Arial" w:hAnsi="Arial" w:cs="Arial"/>
                <w:sz w:val="24"/>
                <w:szCs w:val="24"/>
                <w:u w:val="single"/>
                <w:lang w:val="es-ES"/>
              </w:rPr>
            </w:pPr>
            <w:r w:rsidRPr="00BF0098">
              <w:rPr>
                <w:rFonts w:ascii="Arial" w:hAnsi="Arial" w:cs="Arial"/>
                <w:sz w:val="24"/>
                <w:szCs w:val="24"/>
                <w:u w:val="single"/>
                <w:lang w:val="es-ES"/>
              </w:rPr>
              <w:lastRenderedPageBreak/>
              <w:t>Perdidas no renales</w:t>
            </w:r>
          </w:p>
          <w:p w:rsidR="003F55C3" w:rsidRPr="00BF0098" w:rsidRDefault="003F55C3" w:rsidP="00BF0098">
            <w:pPr>
              <w:spacing w:line="360" w:lineRule="auto"/>
              <w:jc w:val="both"/>
              <w:rPr>
                <w:rFonts w:ascii="Arial" w:hAnsi="Arial" w:cs="Arial"/>
                <w:sz w:val="24"/>
                <w:szCs w:val="24"/>
                <w:lang w:val="es-ES"/>
              </w:rPr>
            </w:pPr>
            <w:r w:rsidRPr="00BF0098">
              <w:rPr>
                <w:rFonts w:ascii="Arial" w:hAnsi="Arial" w:cs="Arial"/>
                <w:sz w:val="24"/>
                <w:szCs w:val="24"/>
                <w:lang w:val="es-ES"/>
              </w:rPr>
              <w:t>Vómitos</w:t>
            </w:r>
          </w:p>
          <w:p w:rsidR="003F55C3" w:rsidRPr="00BF0098" w:rsidRDefault="003F55C3" w:rsidP="00BF0098">
            <w:pPr>
              <w:spacing w:line="360" w:lineRule="auto"/>
              <w:jc w:val="both"/>
              <w:rPr>
                <w:rFonts w:ascii="Arial" w:hAnsi="Arial" w:cs="Arial"/>
                <w:sz w:val="24"/>
                <w:szCs w:val="24"/>
                <w:lang w:val="es-ES"/>
              </w:rPr>
            </w:pPr>
            <w:r w:rsidRPr="00BF0098">
              <w:rPr>
                <w:rFonts w:ascii="Arial" w:hAnsi="Arial" w:cs="Arial"/>
                <w:sz w:val="24"/>
                <w:szCs w:val="24"/>
                <w:lang w:val="es-ES"/>
              </w:rPr>
              <w:t>↑ Líquido 3</w:t>
            </w:r>
            <w:r w:rsidRPr="00BF0098">
              <w:rPr>
                <w:rFonts w:ascii="Arial" w:hAnsi="Arial" w:cs="Arial"/>
                <w:sz w:val="24"/>
                <w:szCs w:val="24"/>
                <w:vertAlign w:val="superscript"/>
                <w:lang w:val="es-ES"/>
              </w:rPr>
              <w:t>er</w:t>
            </w:r>
            <w:r w:rsidRPr="00BF0098">
              <w:rPr>
                <w:rFonts w:ascii="Arial" w:hAnsi="Arial" w:cs="Arial"/>
                <w:sz w:val="24"/>
                <w:szCs w:val="24"/>
                <w:lang w:val="es-ES"/>
              </w:rPr>
              <w:t>espacio</w:t>
            </w:r>
          </w:p>
          <w:p w:rsidR="003F55C3" w:rsidRPr="00BF0098" w:rsidRDefault="003F55C3" w:rsidP="00BF0098">
            <w:pPr>
              <w:spacing w:line="360" w:lineRule="auto"/>
              <w:jc w:val="both"/>
              <w:rPr>
                <w:rFonts w:ascii="Arial" w:hAnsi="Arial" w:cs="Arial"/>
                <w:sz w:val="24"/>
                <w:szCs w:val="24"/>
                <w:lang w:val="es-ES"/>
              </w:rPr>
            </w:pPr>
            <w:r w:rsidRPr="00BF0098">
              <w:rPr>
                <w:rFonts w:ascii="Arial" w:hAnsi="Arial" w:cs="Arial"/>
                <w:sz w:val="24"/>
                <w:szCs w:val="24"/>
                <w:lang w:val="es-ES"/>
              </w:rPr>
              <w:t xml:space="preserve">Quemaduras </w:t>
            </w:r>
          </w:p>
          <w:p w:rsidR="003F55C3" w:rsidRPr="00BF0098" w:rsidRDefault="003F55C3" w:rsidP="00BF0098">
            <w:pPr>
              <w:spacing w:line="360" w:lineRule="auto"/>
              <w:jc w:val="both"/>
              <w:rPr>
                <w:rFonts w:ascii="Arial" w:hAnsi="Arial" w:cs="Arial"/>
                <w:sz w:val="24"/>
                <w:szCs w:val="24"/>
                <w:lang w:val="es-ES"/>
              </w:rPr>
            </w:pPr>
            <w:r w:rsidRPr="00BF0098">
              <w:rPr>
                <w:rFonts w:ascii="Arial" w:hAnsi="Arial" w:cs="Arial"/>
                <w:sz w:val="24"/>
                <w:szCs w:val="24"/>
                <w:lang w:val="es-ES"/>
              </w:rPr>
              <w:t>Diarreas</w:t>
            </w:r>
          </w:p>
          <w:p w:rsidR="003F55C3" w:rsidRPr="00BF0098" w:rsidRDefault="003F55C3" w:rsidP="00BF0098">
            <w:pPr>
              <w:spacing w:line="360" w:lineRule="auto"/>
              <w:jc w:val="both"/>
              <w:rPr>
                <w:rFonts w:ascii="Arial" w:hAnsi="Arial" w:cs="Arial"/>
                <w:sz w:val="24"/>
                <w:szCs w:val="24"/>
                <w:lang w:val="es-ES"/>
              </w:rPr>
            </w:pPr>
            <w:r w:rsidRPr="00BF0098">
              <w:rPr>
                <w:rFonts w:ascii="Arial" w:hAnsi="Arial" w:cs="Arial"/>
                <w:sz w:val="24"/>
                <w:szCs w:val="24"/>
                <w:lang w:val="es-ES"/>
              </w:rPr>
              <w:lastRenderedPageBreak/>
              <w:t>Pancreatitis</w:t>
            </w:r>
          </w:p>
          <w:p w:rsidR="003F55C3" w:rsidRPr="00BF0098" w:rsidRDefault="003F55C3" w:rsidP="00BF0098">
            <w:pPr>
              <w:spacing w:line="360" w:lineRule="auto"/>
              <w:jc w:val="both"/>
              <w:rPr>
                <w:rFonts w:ascii="Arial" w:hAnsi="Arial" w:cs="Arial"/>
                <w:sz w:val="24"/>
                <w:szCs w:val="24"/>
                <w:lang w:val="pt-BR"/>
              </w:rPr>
            </w:pPr>
            <w:r w:rsidRPr="00BF0098">
              <w:rPr>
                <w:rFonts w:ascii="Arial" w:hAnsi="Arial" w:cs="Arial"/>
                <w:sz w:val="24"/>
                <w:szCs w:val="24"/>
                <w:lang w:val="pt-BR"/>
              </w:rPr>
              <w:t>Sínd. Pierde sal Cerb.</w:t>
            </w:r>
          </w:p>
        </w:tc>
        <w:tc>
          <w:tcPr>
            <w:tcW w:w="2520" w:type="dxa"/>
            <w:vAlign w:val="center"/>
          </w:tcPr>
          <w:p w:rsidR="003F55C3" w:rsidRPr="00BF0098" w:rsidRDefault="003F55C3" w:rsidP="00BF0098">
            <w:pPr>
              <w:spacing w:line="360" w:lineRule="auto"/>
              <w:jc w:val="both"/>
              <w:rPr>
                <w:rFonts w:ascii="Arial" w:hAnsi="Arial" w:cs="Arial"/>
                <w:sz w:val="24"/>
                <w:szCs w:val="24"/>
                <w:lang w:val="pt-BR"/>
              </w:rPr>
            </w:pPr>
            <w:r w:rsidRPr="00BF0098">
              <w:rPr>
                <w:rFonts w:ascii="Arial" w:hAnsi="Arial" w:cs="Arial"/>
                <w:sz w:val="24"/>
                <w:szCs w:val="24"/>
                <w:lang w:val="pt-BR"/>
              </w:rPr>
              <w:lastRenderedPageBreak/>
              <w:t xml:space="preserve">Insufic. </w:t>
            </w:r>
            <w:proofErr w:type="gramStart"/>
            <w:r w:rsidRPr="00BF0098">
              <w:rPr>
                <w:rFonts w:ascii="Arial" w:hAnsi="Arial" w:cs="Arial"/>
                <w:sz w:val="24"/>
                <w:szCs w:val="24"/>
                <w:lang w:val="pt-BR"/>
              </w:rPr>
              <w:t>cardíaca</w:t>
            </w:r>
            <w:proofErr w:type="gramEnd"/>
            <w:r w:rsidRPr="00BF0098">
              <w:rPr>
                <w:rFonts w:ascii="Arial" w:hAnsi="Arial" w:cs="Arial"/>
                <w:sz w:val="24"/>
                <w:szCs w:val="24"/>
                <w:lang w:val="pt-BR"/>
              </w:rPr>
              <w:t xml:space="preserve"> congestiva</w:t>
            </w:r>
          </w:p>
          <w:p w:rsidR="003F55C3" w:rsidRPr="00BF0098" w:rsidRDefault="003F55C3" w:rsidP="00BF0098">
            <w:pPr>
              <w:spacing w:line="360" w:lineRule="auto"/>
              <w:jc w:val="both"/>
              <w:rPr>
                <w:rFonts w:ascii="Arial" w:hAnsi="Arial" w:cs="Arial"/>
                <w:sz w:val="24"/>
                <w:szCs w:val="24"/>
                <w:lang w:val="pt-BR"/>
              </w:rPr>
            </w:pPr>
            <w:r w:rsidRPr="00BF0098">
              <w:rPr>
                <w:rFonts w:ascii="Arial" w:hAnsi="Arial" w:cs="Arial"/>
                <w:sz w:val="24"/>
                <w:szCs w:val="24"/>
                <w:lang w:val="pt-BR"/>
              </w:rPr>
              <w:t>Cirrosis hepatica</w:t>
            </w:r>
          </w:p>
          <w:p w:rsidR="003F55C3" w:rsidRPr="00BF0098" w:rsidRDefault="003F55C3" w:rsidP="00BF0098">
            <w:pPr>
              <w:spacing w:line="360" w:lineRule="auto"/>
              <w:jc w:val="both"/>
              <w:rPr>
                <w:rFonts w:ascii="Arial" w:hAnsi="Arial" w:cs="Arial"/>
                <w:sz w:val="24"/>
                <w:szCs w:val="24"/>
                <w:lang w:val="pt-BR"/>
              </w:rPr>
            </w:pPr>
            <w:r w:rsidRPr="00BF0098">
              <w:rPr>
                <w:rFonts w:ascii="Arial" w:hAnsi="Arial" w:cs="Arial"/>
                <w:sz w:val="24"/>
                <w:szCs w:val="24"/>
                <w:lang w:val="pt-BR"/>
              </w:rPr>
              <w:t>Insuf. Hepática</w:t>
            </w:r>
          </w:p>
          <w:p w:rsidR="003F55C3" w:rsidRPr="00BF0098" w:rsidRDefault="003F55C3" w:rsidP="00BF0098">
            <w:pPr>
              <w:spacing w:line="360" w:lineRule="auto"/>
              <w:jc w:val="both"/>
              <w:rPr>
                <w:rFonts w:ascii="Arial" w:hAnsi="Arial" w:cs="Arial"/>
                <w:sz w:val="24"/>
                <w:szCs w:val="24"/>
                <w:lang w:val="pt-BR"/>
              </w:rPr>
            </w:pPr>
            <w:r w:rsidRPr="00BF0098">
              <w:rPr>
                <w:rFonts w:ascii="Arial" w:hAnsi="Arial" w:cs="Arial"/>
                <w:sz w:val="24"/>
                <w:szCs w:val="24"/>
                <w:lang w:val="pt-BR"/>
              </w:rPr>
              <w:t>Síndrome nefrótico</w:t>
            </w:r>
          </w:p>
          <w:p w:rsidR="003F55C3" w:rsidRPr="00BF0098" w:rsidRDefault="003F55C3" w:rsidP="00BF0098">
            <w:pPr>
              <w:spacing w:line="360" w:lineRule="auto"/>
              <w:jc w:val="both"/>
              <w:rPr>
                <w:rFonts w:ascii="Arial" w:hAnsi="Arial" w:cs="Arial"/>
                <w:sz w:val="24"/>
                <w:szCs w:val="24"/>
                <w:lang w:val="pt-BR"/>
              </w:rPr>
            </w:pPr>
            <w:r w:rsidRPr="00BF0098">
              <w:rPr>
                <w:rFonts w:ascii="Arial" w:hAnsi="Arial" w:cs="Arial"/>
                <w:sz w:val="24"/>
                <w:szCs w:val="24"/>
                <w:lang w:val="pt-BR"/>
              </w:rPr>
              <w:lastRenderedPageBreak/>
              <w:t xml:space="preserve">Insuficiencia Renal aguda y </w:t>
            </w:r>
            <w:r w:rsidR="00831C48" w:rsidRPr="00BF0098">
              <w:rPr>
                <w:rFonts w:ascii="Arial" w:hAnsi="Arial" w:cs="Arial"/>
                <w:sz w:val="24"/>
                <w:szCs w:val="24"/>
                <w:lang w:val="pt-BR"/>
              </w:rPr>
              <w:t>crônica</w:t>
            </w:r>
          </w:p>
        </w:tc>
      </w:tr>
    </w:tbl>
    <w:p w:rsidR="003F55C3" w:rsidRPr="00BF0098" w:rsidRDefault="003F55C3" w:rsidP="00BF0098">
      <w:pPr>
        <w:pStyle w:val="Style"/>
        <w:spacing w:line="360" w:lineRule="auto"/>
        <w:jc w:val="both"/>
        <w:rPr>
          <w:rFonts w:ascii="Arial" w:hAnsi="Arial" w:cs="Arial"/>
          <w:lang w:val="es-ES_tradnl"/>
        </w:rPr>
      </w:pPr>
      <w:r w:rsidRPr="00BF0098">
        <w:rPr>
          <w:rFonts w:ascii="Arial" w:hAnsi="Arial" w:cs="Arial"/>
          <w:lang w:val="es-ES_tradnl"/>
        </w:rPr>
        <w:lastRenderedPageBreak/>
        <w:t xml:space="preserve">Na </w:t>
      </w:r>
      <w:proofErr w:type="gramStart"/>
      <w:r w:rsidRPr="00BF0098">
        <w:rPr>
          <w:rFonts w:ascii="Arial" w:hAnsi="Arial" w:cs="Arial"/>
          <w:lang w:val="es-ES_tradnl"/>
        </w:rPr>
        <w:t>CT(</w:t>
      </w:r>
      <w:proofErr w:type="gramEnd"/>
      <w:r w:rsidRPr="00BF0098">
        <w:rPr>
          <w:rFonts w:ascii="Arial" w:hAnsi="Arial" w:cs="Arial"/>
          <w:lang w:val="es-ES_tradnl"/>
        </w:rPr>
        <w:t>sodio corporal total) SIHAD (secreción inadecuada de hormona antidiurética)</w:t>
      </w:r>
    </w:p>
    <w:p w:rsidR="003F55C3" w:rsidRPr="00BF0098" w:rsidRDefault="003F55C3" w:rsidP="00BF0098">
      <w:pPr>
        <w:pStyle w:val="Prrafodelista"/>
        <w:spacing w:line="360" w:lineRule="auto"/>
        <w:ind w:left="0"/>
        <w:jc w:val="both"/>
        <w:rPr>
          <w:rFonts w:ascii="Arial" w:hAnsi="Arial" w:cs="Arial"/>
          <w:sz w:val="24"/>
          <w:szCs w:val="24"/>
        </w:rPr>
      </w:pPr>
      <w:r w:rsidRPr="00BF0098">
        <w:rPr>
          <w:rFonts w:ascii="Arial" w:hAnsi="Arial" w:cs="Arial"/>
          <w:b/>
          <w:sz w:val="24"/>
          <w:szCs w:val="24"/>
        </w:rPr>
        <w:t>Cuadro clínico</w:t>
      </w:r>
    </w:p>
    <w:p w:rsidR="003F55C3" w:rsidRPr="00BF0098" w:rsidRDefault="003F55C3" w:rsidP="00BF0098">
      <w:pPr>
        <w:pStyle w:val="Prrafodelista"/>
        <w:spacing w:line="360" w:lineRule="auto"/>
        <w:ind w:left="0"/>
        <w:jc w:val="both"/>
        <w:rPr>
          <w:rFonts w:ascii="Arial" w:hAnsi="Arial" w:cs="Arial"/>
          <w:sz w:val="24"/>
          <w:szCs w:val="24"/>
        </w:rPr>
      </w:pPr>
      <w:r w:rsidRPr="00BF0098">
        <w:rPr>
          <w:rFonts w:ascii="Arial" w:hAnsi="Arial" w:cs="Arial"/>
          <w:sz w:val="24"/>
          <w:szCs w:val="24"/>
        </w:rPr>
        <w:t>.La hiponatremia afecta el siste</w:t>
      </w:r>
      <w:r w:rsidRPr="00BF0098">
        <w:rPr>
          <w:rFonts w:ascii="Arial" w:hAnsi="Arial" w:cs="Arial"/>
          <w:sz w:val="24"/>
          <w:szCs w:val="24"/>
          <w:lang w:val="es-ES"/>
        </w:rPr>
        <w:t>ma respiratorio, cardiovascular y renal, aunque las manifestaciones clínicas son principalmente neurológicas; especialmente en la hiponatremia aguda (cefalea, confusión, estupor, convulsiones y puede llegar al coma).Los síntomas neurológicos dependen del nivel de la natremia, y velocidad de instauración, las agudas suelen ser muy sintomáticas y ocasionan con frecuencia daño neurológico grave e irreversible (Mielinolisis Pontina), mientras que las de desarrollo lento suelen ser asintomáticas y no provocan daño neurológico permanente.</w:t>
      </w:r>
    </w:p>
    <w:p w:rsidR="003F55C3" w:rsidRPr="00BF0098" w:rsidRDefault="003F55C3" w:rsidP="00BF0098">
      <w:pPr>
        <w:pStyle w:val="Style"/>
        <w:spacing w:line="360" w:lineRule="auto"/>
        <w:jc w:val="both"/>
        <w:rPr>
          <w:rFonts w:ascii="Arial" w:hAnsi="Arial" w:cs="Arial"/>
          <w:lang w:val="es-ES"/>
        </w:rPr>
      </w:pPr>
      <w:r w:rsidRPr="00BF0098">
        <w:rPr>
          <w:rFonts w:ascii="Arial" w:hAnsi="Arial" w:cs="Arial"/>
          <w:lang w:val="es-ES"/>
        </w:rPr>
        <w:t>Diferencias entre hiponatremia aguda y crónica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943"/>
        <w:gridCol w:w="2867"/>
        <w:gridCol w:w="2910"/>
      </w:tblGrid>
      <w:tr w:rsidR="003F55C3" w:rsidRPr="00BF0098" w:rsidTr="008969F7">
        <w:tc>
          <w:tcPr>
            <w:tcW w:w="3224" w:type="dxa"/>
            <w:vAlign w:val="center"/>
          </w:tcPr>
          <w:p w:rsidR="003F55C3" w:rsidRPr="00BF0098" w:rsidRDefault="003F55C3" w:rsidP="00BF0098">
            <w:pPr>
              <w:pStyle w:val="Style"/>
              <w:spacing w:line="360" w:lineRule="auto"/>
              <w:jc w:val="both"/>
              <w:rPr>
                <w:rFonts w:ascii="Arial" w:hAnsi="Arial" w:cs="Arial"/>
                <w:lang w:val="es-ES"/>
              </w:rPr>
            </w:pPr>
            <w:r w:rsidRPr="00BF0098">
              <w:rPr>
                <w:rFonts w:ascii="Arial" w:hAnsi="Arial" w:cs="Arial"/>
                <w:lang w:val="es-ES"/>
              </w:rPr>
              <w:t>Hiponatremia</w:t>
            </w:r>
          </w:p>
        </w:tc>
        <w:tc>
          <w:tcPr>
            <w:tcW w:w="3224" w:type="dxa"/>
            <w:vAlign w:val="center"/>
          </w:tcPr>
          <w:p w:rsidR="003F55C3" w:rsidRPr="00BF0098" w:rsidRDefault="003F55C3" w:rsidP="00BF0098">
            <w:pPr>
              <w:pStyle w:val="Style"/>
              <w:spacing w:line="360" w:lineRule="auto"/>
              <w:jc w:val="both"/>
              <w:rPr>
                <w:rFonts w:ascii="Arial" w:hAnsi="Arial" w:cs="Arial"/>
                <w:lang w:val="es-ES"/>
              </w:rPr>
            </w:pPr>
            <w:r w:rsidRPr="00BF0098">
              <w:rPr>
                <w:rFonts w:ascii="Arial" w:hAnsi="Arial" w:cs="Arial"/>
                <w:lang w:val="es-ES"/>
              </w:rPr>
              <w:t>Aguda</w:t>
            </w:r>
          </w:p>
        </w:tc>
        <w:tc>
          <w:tcPr>
            <w:tcW w:w="3224" w:type="dxa"/>
            <w:vAlign w:val="center"/>
          </w:tcPr>
          <w:p w:rsidR="003F55C3" w:rsidRPr="00BF0098" w:rsidRDefault="003F55C3" w:rsidP="00BF0098">
            <w:pPr>
              <w:pStyle w:val="Style"/>
              <w:spacing w:line="360" w:lineRule="auto"/>
              <w:jc w:val="both"/>
              <w:rPr>
                <w:rFonts w:ascii="Arial" w:hAnsi="Arial" w:cs="Arial"/>
                <w:lang w:val="es-ES"/>
              </w:rPr>
            </w:pPr>
            <w:r w:rsidRPr="00BF0098">
              <w:rPr>
                <w:rFonts w:ascii="Arial" w:hAnsi="Arial" w:cs="Arial"/>
                <w:lang w:val="es-ES"/>
              </w:rPr>
              <w:t>Crónica</w:t>
            </w:r>
          </w:p>
        </w:tc>
      </w:tr>
      <w:tr w:rsidR="003F55C3" w:rsidRPr="00BF0098" w:rsidTr="008969F7">
        <w:tc>
          <w:tcPr>
            <w:tcW w:w="3224" w:type="dxa"/>
            <w:vAlign w:val="center"/>
          </w:tcPr>
          <w:p w:rsidR="003F55C3" w:rsidRPr="00BF0098" w:rsidRDefault="003F55C3" w:rsidP="00BF0098">
            <w:pPr>
              <w:pStyle w:val="Style"/>
              <w:spacing w:line="360" w:lineRule="auto"/>
              <w:jc w:val="both"/>
              <w:rPr>
                <w:rFonts w:ascii="Arial" w:hAnsi="Arial" w:cs="Arial"/>
                <w:lang w:val="es-ES"/>
              </w:rPr>
            </w:pPr>
            <w:r w:rsidRPr="00BF0098">
              <w:rPr>
                <w:rFonts w:ascii="Arial" w:hAnsi="Arial" w:cs="Arial"/>
                <w:lang w:val="es-ES"/>
              </w:rPr>
              <w:t>Evolución en el tiempo</w:t>
            </w:r>
          </w:p>
        </w:tc>
        <w:tc>
          <w:tcPr>
            <w:tcW w:w="3224" w:type="dxa"/>
            <w:vAlign w:val="center"/>
          </w:tcPr>
          <w:p w:rsidR="003F55C3" w:rsidRPr="00BF0098" w:rsidRDefault="003F55C3" w:rsidP="00BF0098">
            <w:pPr>
              <w:pStyle w:val="Style"/>
              <w:spacing w:line="360" w:lineRule="auto"/>
              <w:jc w:val="both"/>
              <w:rPr>
                <w:rFonts w:ascii="Arial" w:hAnsi="Arial" w:cs="Arial"/>
                <w:lang w:val="es-ES"/>
              </w:rPr>
            </w:pPr>
            <w:r w:rsidRPr="00BF0098">
              <w:rPr>
                <w:rFonts w:ascii="Arial" w:hAnsi="Arial" w:cs="Arial"/>
                <w:lang w:val="es-ES"/>
              </w:rPr>
              <w:t>Menos de 48 horas si dispongo de (Na p)previo</w:t>
            </w:r>
          </w:p>
        </w:tc>
        <w:tc>
          <w:tcPr>
            <w:tcW w:w="3224" w:type="dxa"/>
            <w:vAlign w:val="center"/>
          </w:tcPr>
          <w:p w:rsidR="003F55C3" w:rsidRPr="00BF0098" w:rsidRDefault="003F55C3" w:rsidP="00BF0098">
            <w:pPr>
              <w:pStyle w:val="Style"/>
              <w:spacing w:line="360" w:lineRule="auto"/>
              <w:jc w:val="both"/>
              <w:rPr>
                <w:rFonts w:ascii="Arial" w:hAnsi="Arial" w:cs="Arial"/>
                <w:lang w:val="es-ES"/>
              </w:rPr>
            </w:pPr>
            <w:r w:rsidRPr="00BF0098">
              <w:rPr>
                <w:rFonts w:ascii="Arial" w:hAnsi="Arial" w:cs="Arial"/>
                <w:lang w:val="es-ES"/>
              </w:rPr>
              <w:t>Mayor de 48 horas</w:t>
            </w:r>
          </w:p>
        </w:tc>
      </w:tr>
      <w:tr w:rsidR="003F55C3" w:rsidRPr="00BF0098" w:rsidTr="008969F7">
        <w:tc>
          <w:tcPr>
            <w:tcW w:w="3224" w:type="dxa"/>
            <w:vAlign w:val="center"/>
          </w:tcPr>
          <w:p w:rsidR="003F55C3" w:rsidRPr="00BF0098" w:rsidRDefault="003F55C3" w:rsidP="00BF0098">
            <w:pPr>
              <w:pStyle w:val="Style"/>
              <w:spacing w:line="360" w:lineRule="auto"/>
              <w:jc w:val="both"/>
              <w:rPr>
                <w:rFonts w:ascii="Arial" w:hAnsi="Arial" w:cs="Arial"/>
                <w:lang w:val="pt-BR"/>
              </w:rPr>
            </w:pPr>
            <w:r w:rsidRPr="00BF0098">
              <w:rPr>
                <w:rFonts w:ascii="Arial" w:hAnsi="Arial" w:cs="Arial"/>
                <w:lang w:val="pt-BR"/>
              </w:rPr>
              <w:t xml:space="preserve">Descenso </w:t>
            </w:r>
            <w:proofErr w:type="gramStart"/>
            <w:r w:rsidRPr="00BF0098">
              <w:rPr>
                <w:rFonts w:ascii="Arial" w:hAnsi="Arial" w:cs="Arial"/>
                <w:lang w:val="pt-BR"/>
              </w:rPr>
              <w:t>Na plasmático</w:t>
            </w:r>
            <w:proofErr w:type="gramEnd"/>
            <w:r w:rsidRPr="00BF0098">
              <w:rPr>
                <w:rFonts w:ascii="Arial" w:hAnsi="Arial" w:cs="Arial"/>
                <w:lang w:val="pt-BR"/>
              </w:rPr>
              <w:t xml:space="preserve"> (Na p)</w:t>
            </w:r>
          </w:p>
        </w:tc>
        <w:tc>
          <w:tcPr>
            <w:tcW w:w="3224" w:type="dxa"/>
            <w:vAlign w:val="center"/>
          </w:tcPr>
          <w:p w:rsidR="003F55C3" w:rsidRPr="00BF0098" w:rsidRDefault="003F55C3" w:rsidP="00BF0098">
            <w:pPr>
              <w:pStyle w:val="Style"/>
              <w:spacing w:line="360" w:lineRule="auto"/>
              <w:jc w:val="both"/>
              <w:rPr>
                <w:rFonts w:ascii="Arial" w:hAnsi="Arial" w:cs="Arial"/>
                <w:lang w:val="pt-BR"/>
              </w:rPr>
            </w:pPr>
            <w:r w:rsidRPr="00BF0098">
              <w:rPr>
                <w:rFonts w:ascii="Arial" w:hAnsi="Arial" w:cs="Arial"/>
                <w:lang w:val="pt-BR"/>
              </w:rPr>
              <w:t xml:space="preserve">&gt;0.5 </w:t>
            </w:r>
            <w:proofErr w:type="gramStart"/>
            <w:r w:rsidRPr="00BF0098">
              <w:rPr>
                <w:rFonts w:ascii="Arial" w:hAnsi="Arial" w:cs="Arial"/>
                <w:lang w:val="pt-BR"/>
              </w:rPr>
              <w:t>mEq</w:t>
            </w:r>
            <w:proofErr w:type="gramEnd"/>
            <w:r w:rsidRPr="00BF0098">
              <w:rPr>
                <w:rFonts w:ascii="Arial" w:hAnsi="Arial" w:cs="Arial"/>
                <w:lang w:val="pt-BR"/>
              </w:rPr>
              <w:t>/l/hora, si dispongo de (Na p) seriado</w:t>
            </w:r>
          </w:p>
        </w:tc>
        <w:tc>
          <w:tcPr>
            <w:tcW w:w="3224" w:type="dxa"/>
            <w:vAlign w:val="center"/>
          </w:tcPr>
          <w:p w:rsidR="003F55C3" w:rsidRPr="00BF0098" w:rsidRDefault="003F55C3" w:rsidP="00BF0098">
            <w:pPr>
              <w:pStyle w:val="Style"/>
              <w:spacing w:line="360" w:lineRule="auto"/>
              <w:jc w:val="both"/>
              <w:rPr>
                <w:rFonts w:ascii="Arial" w:hAnsi="Arial" w:cs="Arial"/>
                <w:lang w:val="pt-BR"/>
              </w:rPr>
            </w:pPr>
            <w:r w:rsidRPr="00BF0098">
              <w:rPr>
                <w:rFonts w:ascii="Arial" w:hAnsi="Arial" w:cs="Arial"/>
                <w:lang w:val="pt-BR"/>
              </w:rPr>
              <w:t xml:space="preserve">&lt;0.5 </w:t>
            </w:r>
            <w:proofErr w:type="gramStart"/>
            <w:r w:rsidRPr="00BF0098">
              <w:rPr>
                <w:rFonts w:ascii="Arial" w:hAnsi="Arial" w:cs="Arial"/>
                <w:lang w:val="pt-BR"/>
              </w:rPr>
              <w:t>mEq</w:t>
            </w:r>
            <w:proofErr w:type="gramEnd"/>
            <w:r w:rsidRPr="00BF0098">
              <w:rPr>
                <w:rFonts w:ascii="Arial" w:hAnsi="Arial" w:cs="Arial"/>
                <w:lang w:val="pt-BR"/>
              </w:rPr>
              <w:t>/l/hora, si dispongo de (Na p) seriado</w:t>
            </w:r>
          </w:p>
        </w:tc>
      </w:tr>
      <w:tr w:rsidR="003F55C3" w:rsidRPr="00BF0098" w:rsidTr="008969F7">
        <w:tc>
          <w:tcPr>
            <w:tcW w:w="3224" w:type="dxa"/>
            <w:vAlign w:val="center"/>
          </w:tcPr>
          <w:p w:rsidR="003F55C3" w:rsidRPr="00BF0098" w:rsidRDefault="003F55C3" w:rsidP="00BF0098">
            <w:pPr>
              <w:pStyle w:val="Style"/>
              <w:spacing w:line="360" w:lineRule="auto"/>
              <w:jc w:val="both"/>
              <w:rPr>
                <w:rFonts w:ascii="Arial" w:hAnsi="Arial" w:cs="Arial"/>
                <w:lang w:val="es-ES"/>
              </w:rPr>
            </w:pPr>
            <w:r w:rsidRPr="00BF0098">
              <w:rPr>
                <w:rFonts w:ascii="Arial" w:hAnsi="Arial" w:cs="Arial"/>
                <w:lang w:val="es-ES"/>
              </w:rPr>
              <w:t>Administración de fluidos</w:t>
            </w:r>
          </w:p>
        </w:tc>
        <w:tc>
          <w:tcPr>
            <w:tcW w:w="3224" w:type="dxa"/>
            <w:vAlign w:val="center"/>
          </w:tcPr>
          <w:p w:rsidR="003F55C3" w:rsidRPr="00BF0098" w:rsidRDefault="003F55C3" w:rsidP="00BF0098">
            <w:pPr>
              <w:pStyle w:val="Style"/>
              <w:spacing w:line="360" w:lineRule="auto"/>
              <w:jc w:val="both"/>
              <w:rPr>
                <w:rFonts w:ascii="Arial" w:hAnsi="Arial" w:cs="Arial"/>
                <w:lang w:val="es-ES"/>
              </w:rPr>
            </w:pPr>
            <w:r w:rsidRPr="00BF0098">
              <w:rPr>
                <w:rFonts w:ascii="Arial" w:hAnsi="Arial" w:cs="Arial"/>
                <w:lang w:val="es-ES"/>
              </w:rPr>
              <w:t>Exceso de agua ó líquidos hipotónicos recientes.</w:t>
            </w:r>
          </w:p>
        </w:tc>
        <w:tc>
          <w:tcPr>
            <w:tcW w:w="3224" w:type="dxa"/>
            <w:vAlign w:val="center"/>
          </w:tcPr>
          <w:p w:rsidR="003F55C3" w:rsidRPr="00BF0098" w:rsidRDefault="003F55C3" w:rsidP="00BF0098">
            <w:pPr>
              <w:pStyle w:val="Style"/>
              <w:spacing w:line="360" w:lineRule="auto"/>
              <w:jc w:val="both"/>
              <w:rPr>
                <w:rFonts w:ascii="Arial" w:hAnsi="Arial" w:cs="Arial"/>
                <w:lang w:val="es-ES"/>
              </w:rPr>
            </w:pPr>
            <w:r w:rsidRPr="00BF0098">
              <w:rPr>
                <w:rFonts w:ascii="Arial" w:hAnsi="Arial" w:cs="Arial"/>
                <w:lang w:val="es-ES"/>
              </w:rPr>
              <w:t>No historia reciente de uso de agua.</w:t>
            </w:r>
          </w:p>
        </w:tc>
      </w:tr>
      <w:tr w:rsidR="003F55C3" w:rsidRPr="00BF0098" w:rsidTr="008969F7">
        <w:tc>
          <w:tcPr>
            <w:tcW w:w="3224" w:type="dxa"/>
            <w:vAlign w:val="center"/>
          </w:tcPr>
          <w:p w:rsidR="003F55C3" w:rsidRPr="00BF0098" w:rsidRDefault="003F55C3" w:rsidP="00BF0098">
            <w:pPr>
              <w:pStyle w:val="Style"/>
              <w:spacing w:line="360" w:lineRule="auto"/>
              <w:jc w:val="both"/>
              <w:rPr>
                <w:rFonts w:ascii="Arial" w:hAnsi="Arial" w:cs="Arial"/>
                <w:lang w:val="es-ES"/>
              </w:rPr>
            </w:pPr>
            <w:r w:rsidRPr="00BF0098">
              <w:rPr>
                <w:rFonts w:ascii="Arial" w:hAnsi="Arial" w:cs="Arial"/>
                <w:lang w:val="es-ES"/>
              </w:rPr>
              <w:t>Sintomatología neurológica</w:t>
            </w:r>
          </w:p>
        </w:tc>
        <w:tc>
          <w:tcPr>
            <w:tcW w:w="3224" w:type="dxa"/>
            <w:vAlign w:val="center"/>
          </w:tcPr>
          <w:p w:rsidR="003F55C3" w:rsidRPr="00BF0098" w:rsidRDefault="003F55C3" w:rsidP="00BF0098">
            <w:pPr>
              <w:pStyle w:val="Style"/>
              <w:spacing w:line="360" w:lineRule="auto"/>
              <w:jc w:val="both"/>
              <w:rPr>
                <w:rFonts w:ascii="Arial" w:hAnsi="Arial" w:cs="Arial"/>
                <w:lang w:val="es-ES"/>
              </w:rPr>
            </w:pPr>
            <w:r w:rsidRPr="00BF0098">
              <w:rPr>
                <w:rFonts w:ascii="Arial" w:hAnsi="Arial" w:cs="Arial"/>
                <w:lang w:val="es-ES"/>
              </w:rPr>
              <w:t>Aguda y florida.</w:t>
            </w:r>
          </w:p>
        </w:tc>
        <w:tc>
          <w:tcPr>
            <w:tcW w:w="3224" w:type="dxa"/>
            <w:vAlign w:val="center"/>
          </w:tcPr>
          <w:p w:rsidR="003F55C3" w:rsidRPr="00BF0098" w:rsidRDefault="003F55C3" w:rsidP="00BF0098">
            <w:pPr>
              <w:pStyle w:val="Style"/>
              <w:spacing w:line="360" w:lineRule="auto"/>
              <w:jc w:val="both"/>
              <w:rPr>
                <w:rFonts w:ascii="Arial" w:hAnsi="Arial" w:cs="Arial"/>
                <w:lang w:val="es-ES"/>
              </w:rPr>
            </w:pPr>
            <w:r w:rsidRPr="00BF0098">
              <w:rPr>
                <w:rFonts w:ascii="Arial" w:hAnsi="Arial" w:cs="Arial"/>
                <w:lang w:val="es-ES"/>
              </w:rPr>
              <w:t>Discreta ó Asintomático.</w:t>
            </w:r>
          </w:p>
        </w:tc>
      </w:tr>
    </w:tbl>
    <w:p w:rsidR="003F55C3" w:rsidRPr="00BF0098" w:rsidRDefault="003F55C3" w:rsidP="00BF0098">
      <w:pPr>
        <w:spacing w:line="360" w:lineRule="auto"/>
        <w:jc w:val="both"/>
        <w:rPr>
          <w:rFonts w:ascii="Arial" w:hAnsi="Arial" w:cs="Arial"/>
          <w:sz w:val="24"/>
          <w:szCs w:val="24"/>
          <w:lang w:val="es-ES"/>
        </w:rPr>
      </w:pPr>
    </w:p>
    <w:p w:rsidR="00A36688" w:rsidRDefault="003F55C3" w:rsidP="00BF0098">
      <w:pPr>
        <w:pStyle w:val="Prrafodelista"/>
        <w:spacing w:line="360" w:lineRule="auto"/>
        <w:ind w:left="0"/>
        <w:jc w:val="both"/>
        <w:rPr>
          <w:rFonts w:ascii="Arial" w:eastAsia="Times New Roman" w:hAnsi="Arial" w:cs="Arial"/>
          <w:b/>
          <w:sz w:val="24"/>
          <w:szCs w:val="24"/>
          <w:lang w:val="es-ES"/>
        </w:rPr>
      </w:pPr>
      <w:r w:rsidRPr="00BF0098">
        <w:rPr>
          <w:rFonts w:ascii="Arial" w:eastAsia="Times New Roman" w:hAnsi="Arial" w:cs="Arial"/>
          <w:b/>
          <w:sz w:val="24"/>
          <w:szCs w:val="24"/>
          <w:lang w:val="es-ES"/>
        </w:rPr>
        <w:t xml:space="preserve">       </w:t>
      </w:r>
      <w:r w:rsidR="00831C48" w:rsidRPr="00BF0098">
        <w:rPr>
          <w:rFonts w:ascii="Arial" w:eastAsia="Times New Roman" w:hAnsi="Arial" w:cs="Arial"/>
          <w:b/>
          <w:sz w:val="24"/>
          <w:szCs w:val="24"/>
          <w:lang w:val="es-ES"/>
        </w:rPr>
        <w:t xml:space="preserve"> </w:t>
      </w:r>
    </w:p>
    <w:p w:rsidR="00A36688" w:rsidRDefault="00A36688" w:rsidP="00BF0098">
      <w:pPr>
        <w:pStyle w:val="Prrafodelista"/>
        <w:spacing w:line="360" w:lineRule="auto"/>
        <w:ind w:left="0"/>
        <w:jc w:val="both"/>
        <w:rPr>
          <w:rFonts w:ascii="Arial" w:eastAsia="Times New Roman" w:hAnsi="Arial" w:cs="Arial"/>
          <w:b/>
          <w:sz w:val="24"/>
          <w:szCs w:val="24"/>
          <w:lang w:val="es-ES"/>
        </w:rPr>
      </w:pPr>
    </w:p>
    <w:p w:rsidR="003F55C3" w:rsidRPr="00BF0098" w:rsidRDefault="003F55C3" w:rsidP="00BF0098">
      <w:pPr>
        <w:pStyle w:val="Prrafodelista"/>
        <w:spacing w:line="360" w:lineRule="auto"/>
        <w:ind w:left="0"/>
        <w:jc w:val="both"/>
        <w:rPr>
          <w:rFonts w:ascii="Arial" w:hAnsi="Arial" w:cs="Arial"/>
          <w:b/>
          <w:sz w:val="24"/>
          <w:szCs w:val="24"/>
        </w:rPr>
      </w:pPr>
      <w:r w:rsidRPr="00BF0098">
        <w:rPr>
          <w:rFonts w:ascii="Arial" w:hAnsi="Arial" w:cs="Arial"/>
          <w:b/>
          <w:sz w:val="24"/>
          <w:szCs w:val="24"/>
        </w:rPr>
        <w:lastRenderedPageBreak/>
        <w:t>Clasificación.</w:t>
      </w:r>
    </w:p>
    <w:p w:rsidR="003F55C3" w:rsidRPr="00BF0098" w:rsidRDefault="003F55C3" w:rsidP="00BF0098">
      <w:pPr>
        <w:pStyle w:val="Prrafodelista"/>
        <w:numPr>
          <w:ilvl w:val="0"/>
          <w:numId w:val="1"/>
        </w:numPr>
        <w:spacing w:line="360" w:lineRule="auto"/>
        <w:jc w:val="both"/>
        <w:rPr>
          <w:rFonts w:ascii="Arial" w:hAnsi="Arial" w:cs="Arial"/>
          <w:sz w:val="24"/>
          <w:szCs w:val="24"/>
        </w:rPr>
      </w:pPr>
      <w:r w:rsidRPr="00BF0098">
        <w:rPr>
          <w:rFonts w:ascii="Arial" w:hAnsi="Arial" w:cs="Arial"/>
          <w:sz w:val="24"/>
          <w:szCs w:val="24"/>
          <w:lang w:val="es-ES"/>
        </w:rPr>
        <w:t xml:space="preserve">Hiponatremia real. Cifras de sodio por debajo de </w:t>
      </w:r>
      <w:r w:rsidRPr="00BF0098">
        <w:rPr>
          <w:rFonts w:ascii="Arial" w:hAnsi="Arial" w:cs="Arial"/>
          <w:iCs/>
          <w:sz w:val="24"/>
          <w:szCs w:val="24"/>
          <w:lang w:val="es-ES"/>
        </w:rPr>
        <w:t xml:space="preserve">130 mEq/L </w:t>
      </w:r>
      <w:r w:rsidRPr="00BF0098">
        <w:rPr>
          <w:rFonts w:ascii="Arial" w:hAnsi="Arial" w:cs="Arial"/>
          <w:sz w:val="24"/>
          <w:szCs w:val="24"/>
          <w:lang w:val="es-ES"/>
        </w:rPr>
        <w:t>y osmolaridad sérica disminuida. Evaluar la clínica del EEC (vómitos, diarreas, administración de diuréticos y/o enfermedades preexistentes), revisión de la dieta, administración de líquidos, cantidad y calidad de las soluciones administradas por vía intravenosa.</w:t>
      </w:r>
    </w:p>
    <w:p w:rsidR="003F55C3" w:rsidRPr="00BF0098" w:rsidRDefault="003F55C3" w:rsidP="00BF0098">
      <w:pPr>
        <w:pStyle w:val="Prrafodelista"/>
        <w:numPr>
          <w:ilvl w:val="0"/>
          <w:numId w:val="1"/>
        </w:numPr>
        <w:spacing w:line="360" w:lineRule="auto"/>
        <w:jc w:val="both"/>
        <w:rPr>
          <w:rFonts w:ascii="Arial" w:hAnsi="Arial" w:cs="Arial"/>
          <w:sz w:val="24"/>
          <w:szCs w:val="24"/>
        </w:rPr>
      </w:pPr>
      <w:r w:rsidRPr="00BF0098">
        <w:rPr>
          <w:rFonts w:ascii="Arial" w:hAnsi="Arial" w:cs="Arial"/>
          <w:sz w:val="24"/>
          <w:szCs w:val="24"/>
          <w:lang w:val="es-ES"/>
        </w:rPr>
        <w:t>Pseudohiponatremia. Osmolaridad plasmática nor</w:t>
      </w:r>
      <w:r w:rsidRPr="00BF0098">
        <w:rPr>
          <w:rFonts w:ascii="Arial" w:hAnsi="Arial" w:cs="Arial"/>
          <w:sz w:val="24"/>
          <w:szCs w:val="24"/>
          <w:lang w:val="es-ES"/>
        </w:rPr>
        <w:softHyphen/>
        <w:t xml:space="preserve">mal y se caracteriza por la presencia en el plasma de lípidos y proteínas. </w:t>
      </w:r>
    </w:p>
    <w:p w:rsidR="00831C48" w:rsidRPr="00BF0098" w:rsidRDefault="003F55C3" w:rsidP="00BF0098">
      <w:pPr>
        <w:pStyle w:val="Prrafodelista"/>
        <w:numPr>
          <w:ilvl w:val="0"/>
          <w:numId w:val="1"/>
        </w:numPr>
        <w:spacing w:line="360" w:lineRule="auto"/>
        <w:jc w:val="both"/>
        <w:rPr>
          <w:rFonts w:ascii="Arial" w:hAnsi="Arial" w:cs="Arial"/>
          <w:sz w:val="24"/>
          <w:szCs w:val="24"/>
        </w:rPr>
      </w:pPr>
      <w:r w:rsidRPr="00BF0098">
        <w:rPr>
          <w:rFonts w:ascii="Arial" w:hAnsi="Arial" w:cs="Arial"/>
          <w:sz w:val="24"/>
          <w:szCs w:val="24"/>
          <w:lang w:val="es-ES"/>
        </w:rPr>
        <w:t>Hiponatremia ficticia o hipertónica. En el plasma se encuentran solutos osmoticamente activos como glucosa y/o manitol y la osmolaridad del plas</w:t>
      </w:r>
      <w:r w:rsidRPr="00BF0098">
        <w:rPr>
          <w:rFonts w:ascii="Arial" w:hAnsi="Arial" w:cs="Arial"/>
          <w:sz w:val="24"/>
          <w:szCs w:val="24"/>
          <w:lang w:val="es-ES"/>
        </w:rPr>
        <w:softHyphen/>
        <w:t xml:space="preserve">ma esta elevada. </w:t>
      </w:r>
    </w:p>
    <w:p w:rsidR="003F55C3" w:rsidRPr="00BF0098" w:rsidRDefault="003F55C3" w:rsidP="00BF0098">
      <w:pPr>
        <w:spacing w:line="360" w:lineRule="auto"/>
        <w:ind w:left="720"/>
        <w:jc w:val="both"/>
        <w:rPr>
          <w:rFonts w:ascii="Arial" w:hAnsi="Arial" w:cs="Arial"/>
          <w:sz w:val="24"/>
          <w:szCs w:val="24"/>
        </w:rPr>
      </w:pPr>
      <w:r w:rsidRPr="00BF0098">
        <w:rPr>
          <w:rFonts w:ascii="Arial" w:hAnsi="Arial" w:cs="Arial"/>
          <w:sz w:val="24"/>
          <w:szCs w:val="24"/>
          <w:lang w:val="es-ES"/>
        </w:rPr>
        <w:t>Tratamiento</w:t>
      </w:r>
    </w:p>
    <w:p w:rsidR="003F55C3" w:rsidRPr="00BF0098" w:rsidRDefault="003F55C3" w:rsidP="00BF0098">
      <w:pPr>
        <w:pStyle w:val="Style"/>
        <w:spacing w:line="360" w:lineRule="auto"/>
        <w:ind w:left="720" w:right="5"/>
        <w:jc w:val="both"/>
        <w:rPr>
          <w:rFonts w:ascii="Arial" w:hAnsi="Arial" w:cs="Arial"/>
          <w:bCs/>
          <w:lang w:val="es-ES"/>
        </w:rPr>
      </w:pPr>
      <w:r w:rsidRPr="00BF0098">
        <w:rPr>
          <w:rFonts w:ascii="Arial" w:hAnsi="Arial" w:cs="Arial"/>
          <w:lang w:val="es-ES"/>
        </w:rPr>
        <w:t>Conducta a seguir.</w:t>
      </w:r>
      <w:r w:rsidRPr="00BF0098">
        <w:rPr>
          <w:rFonts w:ascii="Arial" w:hAnsi="Arial" w:cs="Arial"/>
          <w:bCs/>
          <w:lang w:val="es-ES"/>
        </w:rPr>
        <w:t xml:space="preserve"> Principios generales para el tratamiento de la hiponatremia:</w:t>
      </w:r>
    </w:p>
    <w:p w:rsidR="003F55C3" w:rsidRPr="00BF0098" w:rsidRDefault="003F55C3" w:rsidP="00BF0098">
      <w:pPr>
        <w:pStyle w:val="Style"/>
        <w:numPr>
          <w:ilvl w:val="0"/>
          <w:numId w:val="2"/>
        </w:numPr>
        <w:spacing w:line="360" w:lineRule="auto"/>
        <w:ind w:left="720" w:right="9" w:hanging="360"/>
        <w:jc w:val="both"/>
        <w:rPr>
          <w:rFonts w:ascii="Arial" w:hAnsi="Arial" w:cs="Arial"/>
          <w:lang w:val="es-ES"/>
        </w:rPr>
      </w:pPr>
      <w:r w:rsidRPr="00BF0098">
        <w:rPr>
          <w:rFonts w:ascii="Arial" w:hAnsi="Arial" w:cs="Arial"/>
          <w:lang w:val="es-ES"/>
        </w:rPr>
        <w:t>Determinar el tiempo de instalación.</w:t>
      </w:r>
    </w:p>
    <w:p w:rsidR="003F55C3" w:rsidRPr="00BF0098" w:rsidRDefault="003F55C3" w:rsidP="00BF0098">
      <w:pPr>
        <w:pStyle w:val="Style"/>
        <w:numPr>
          <w:ilvl w:val="0"/>
          <w:numId w:val="2"/>
        </w:numPr>
        <w:spacing w:line="360" w:lineRule="auto"/>
        <w:ind w:left="720" w:right="33" w:hanging="360"/>
        <w:jc w:val="both"/>
        <w:rPr>
          <w:rFonts w:ascii="Arial" w:hAnsi="Arial" w:cs="Arial"/>
          <w:lang w:val="es-ES"/>
        </w:rPr>
      </w:pPr>
      <w:r w:rsidRPr="00BF0098">
        <w:rPr>
          <w:rFonts w:ascii="Arial" w:hAnsi="Arial" w:cs="Arial"/>
          <w:lang w:val="es-ES"/>
        </w:rPr>
        <w:t xml:space="preserve">La seudohiponatremia, la hiponatremia de la hipopotasemia y la hiponatremia esencial no se tratan. </w:t>
      </w:r>
    </w:p>
    <w:p w:rsidR="003F55C3" w:rsidRPr="00BF0098" w:rsidRDefault="003F55C3" w:rsidP="00BF0098">
      <w:pPr>
        <w:pStyle w:val="Style"/>
        <w:numPr>
          <w:ilvl w:val="0"/>
          <w:numId w:val="2"/>
        </w:numPr>
        <w:spacing w:line="360" w:lineRule="auto"/>
        <w:ind w:left="720" w:right="29" w:hanging="360"/>
        <w:jc w:val="both"/>
        <w:rPr>
          <w:rFonts w:ascii="Arial" w:hAnsi="Arial" w:cs="Arial"/>
          <w:lang w:val="es-ES"/>
        </w:rPr>
      </w:pPr>
      <w:r w:rsidRPr="00BF0098">
        <w:rPr>
          <w:rFonts w:ascii="Arial" w:hAnsi="Arial" w:cs="Arial"/>
          <w:lang w:val="es-ES"/>
        </w:rPr>
        <w:t>Deci</w:t>
      </w:r>
      <w:r w:rsidRPr="00BF0098">
        <w:rPr>
          <w:rFonts w:ascii="Arial" w:hAnsi="Arial" w:cs="Arial"/>
          <w:lang w:val="es-ES"/>
        </w:rPr>
        <w:softHyphen/>
        <w:t>dir si es necesario elevar la natremia, en caso afirmativo, si se debe restringir líquidos cuando hay exceso de agua, o</w:t>
      </w:r>
      <w:r w:rsidRPr="00BF0098">
        <w:rPr>
          <w:rFonts w:ascii="Arial" w:hAnsi="Arial" w:cs="Arial"/>
          <w:w w:val="137"/>
          <w:lang w:val="es-ES"/>
        </w:rPr>
        <w:t xml:space="preserve"> </w:t>
      </w:r>
      <w:r w:rsidRPr="00BF0098">
        <w:rPr>
          <w:rFonts w:ascii="Arial" w:hAnsi="Arial" w:cs="Arial"/>
          <w:lang w:val="es-ES"/>
        </w:rPr>
        <w:t>aportar Na</w:t>
      </w:r>
      <w:r w:rsidRPr="00BF0098">
        <w:rPr>
          <w:rFonts w:ascii="Arial" w:hAnsi="Arial" w:cs="Arial"/>
          <w:vertAlign w:val="superscript"/>
          <w:lang w:val="es-ES"/>
        </w:rPr>
        <w:t xml:space="preserve">+  </w:t>
      </w:r>
      <w:r w:rsidRPr="00BF0098">
        <w:rPr>
          <w:rFonts w:ascii="Arial" w:hAnsi="Arial" w:cs="Arial"/>
          <w:lang w:val="es-ES"/>
        </w:rPr>
        <w:t xml:space="preserve"> isotónico o </w:t>
      </w:r>
      <w:r w:rsidRPr="00BF0098">
        <w:rPr>
          <w:rFonts w:ascii="Arial" w:hAnsi="Arial" w:cs="Arial"/>
          <w:w w:val="139"/>
          <w:lang w:val="es-ES"/>
        </w:rPr>
        <w:t xml:space="preserve"> </w:t>
      </w:r>
      <w:r w:rsidRPr="00BF0098">
        <w:rPr>
          <w:rFonts w:ascii="Arial" w:hAnsi="Arial" w:cs="Arial"/>
          <w:lang w:val="es-ES"/>
        </w:rPr>
        <w:t>hipertónico, con diuréticos o</w:t>
      </w:r>
      <w:r w:rsidRPr="00BF0098">
        <w:rPr>
          <w:rFonts w:ascii="Arial" w:hAnsi="Arial" w:cs="Arial"/>
          <w:w w:val="139"/>
          <w:lang w:val="es-ES"/>
        </w:rPr>
        <w:t xml:space="preserve"> </w:t>
      </w:r>
      <w:r w:rsidRPr="00BF0098">
        <w:rPr>
          <w:rFonts w:ascii="Arial" w:hAnsi="Arial" w:cs="Arial"/>
          <w:lang w:val="es-ES"/>
        </w:rPr>
        <w:t xml:space="preserve">sin ellos cuando se ha perdido sodio. </w:t>
      </w:r>
    </w:p>
    <w:p w:rsidR="003F55C3" w:rsidRPr="00BF0098" w:rsidRDefault="003F55C3" w:rsidP="00BF0098">
      <w:pPr>
        <w:pStyle w:val="Style"/>
        <w:numPr>
          <w:ilvl w:val="0"/>
          <w:numId w:val="2"/>
        </w:numPr>
        <w:spacing w:line="360" w:lineRule="auto"/>
        <w:ind w:left="720" w:right="29" w:hanging="360"/>
        <w:jc w:val="both"/>
        <w:rPr>
          <w:rFonts w:ascii="Arial" w:hAnsi="Arial" w:cs="Arial"/>
          <w:lang w:val="es-ES"/>
        </w:rPr>
      </w:pPr>
      <w:r w:rsidRPr="00BF0098">
        <w:rPr>
          <w:rFonts w:ascii="Arial" w:hAnsi="Arial" w:cs="Arial"/>
          <w:lang w:val="es-ES"/>
        </w:rPr>
        <w:t xml:space="preserve">En la hiponatremia asintomática se debe corregir la causa si es posible, y restringir el aporte de agua si hay evidencia de exceso de agua. </w:t>
      </w:r>
    </w:p>
    <w:p w:rsidR="003F55C3" w:rsidRPr="00BF0098" w:rsidRDefault="003F55C3" w:rsidP="00BF0098">
      <w:pPr>
        <w:pStyle w:val="Style"/>
        <w:spacing w:line="360" w:lineRule="auto"/>
        <w:ind w:right="29" w:firstLine="432"/>
        <w:jc w:val="both"/>
        <w:rPr>
          <w:rFonts w:ascii="Arial" w:hAnsi="Arial" w:cs="Arial"/>
          <w:lang w:val="es-ES"/>
        </w:rPr>
      </w:pPr>
    </w:p>
    <w:p w:rsidR="003F55C3" w:rsidRPr="00BF0098" w:rsidRDefault="003F55C3" w:rsidP="00BF0098">
      <w:pPr>
        <w:pStyle w:val="Style"/>
        <w:spacing w:line="360" w:lineRule="auto"/>
        <w:ind w:left="-163" w:right="23"/>
        <w:jc w:val="both"/>
        <w:rPr>
          <w:rFonts w:ascii="Arial" w:hAnsi="Arial" w:cs="Arial"/>
          <w:lang w:val="es-ES"/>
        </w:rPr>
      </w:pPr>
      <w:r w:rsidRPr="00BF0098">
        <w:rPr>
          <w:rFonts w:ascii="Arial" w:hAnsi="Arial" w:cs="Arial"/>
          <w:lang w:val="es-ES"/>
        </w:rPr>
        <w:t>La hiponatremia sintomática es una urgencia, y debe elevar</w:t>
      </w:r>
      <w:r w:rsidRPr="00BF0098">
        <w:rPr>
          <w:rFonts w:ascii="Arial" w:hAnsi="Arial" w:cs="Arial"/>
          <w:lang w:val="es-ES"/>
        </w:rPr>
        <w:softHyphen/>
        <w:t>se el Na</w:t>
      </w:r>
      <w:r w:rsidRPr="00BF0098">
        <w:rPr>
          <w:rFonts w:ascii="Arial" w:hAnsi="Arial" w:cs="Arial"/>
          <w:vertAlign w:val="superscript"/>
          <w:lang w:val="es-ES"/>
        </w:rPr>
        <w:t>+</w:t>
      </w:r>
      <w:r w:rsidRPr="00BF0098">
        <w:rPr>
          <w:rFonts w:ascii="Arial" w:hAnsi="Arial" w:cs="Arial"/>
          <w:lang w:val="es-ES"/>
        </w:rPr>
        <w:t>p con la administración de Na</w:t>
      </w:r>
      <w:r w:rsidRPr="00BF0098">
        <w:rPr>
          <w:rFonts w:ascii="Arial" w:hAnsi="Arial" w:cs="Arial"/>
          <w:vertAlign w:val="superscript"/>
          <w:lang w:val="es-ES"/>
        </w:rPr>
        <w:t>+</w:t>
      </w:r>
      <w:r w:rsidRPr="00BF0098">
        <w:rPr>
          <w:rFonts w:ascii="Arial" w:hAnsi="Arial" w:cs="Arial"/>
          <w:lang w:val="es-ES"/>
        </w:rPr>
        <w:t xml:space="preserve"> a un ritmo de </w:t>
      </w:r>
      <w:smartTag w:uri="urn:schemas-microsoft-com:office:smarttags" w:element="metricconverter">
        <w:smartTagPr>
          <w:attr w:name="ProductID" w:val="1 a"/>
        </w:smartTagPr>
        <w:r w:rsidRPr="00BF0098">
          <w:rPr>
            <w:rFonts w:ascii="Arial" w:hAnsi="Arial" w:cs="Arial"/>
            <w:lang w:val="es-ES"/>
          </w:rPr>
          <w:t>1 a</w:t>
        </w:r>
      </w:smartTag>
      <w:r w:rsidRPr="00BF0098">
        <w:rPr>
          <w:rFonts w:ascii="Arial" w:hAnsi="Arial" w:cs="Arial"/>
          <w:lang w:val="es-ES"/>
        </w:rPr>
        <w:t xml:space="preserve"> 2 mEq/L/h. El Na</w:t>
      </w:r>
      <w:r w:rsidRPr="00BF0098">
        <w:rPr>
          <w:rFonts w:ascii="Arial" w:hAnsi="Arial" w:cs="Arial"/>
          <w:vertAlign w:val="superscript"/>
          <w:lang w:val="es-ES"/>
        </w:rPr>
        <w:t>+</w:t>
      </w:r>
      <w:r w:rsidRPr="00BF0098">
        <w:rPr>
          <w:rFonts w:ascii="Arial" w:hAnsi="Arial" w:cs="Arial"/>
          <w:lang w:val="es-ES"/>
        </w:rPr>
        <w:t xml:space="preserve">p no debe subir más de </w:t>
      </w:r>
      <w:smartTag w:uri="urn:schemas-microsoft-com:office:smarttags" w:element="metricconverter">
        <w:smartTagPr>
          <w:attr w:name="ProductID" w:val="12 a"/>
        </w:smartTagPr>
        <w:r w:rsidRPr="00BF0098">
          <w:rPr>
            <w:rFonts w:ascii="Arial" w:hAnsi="Arial" w:cs="Arial"/>
            <w:lang w:val="es-ES"/>
          </w:rPr>
          <w:t>12 a</w:t>
        </w:r>
      </w:smartTag>
      <w:r w:rsidRPr="00BF0098">
        <w:rPr>
          <w:rFonts w:ascii="Arial" w:hAnsi="Arial" w:cs="Arial"/>
          <w:lang w:val="es-ES"/>
        </w:rPr>
        <w:t xml:space="preserve"> 15 mEq/dia, ni más de 25 mEq/L en las primeras 48 h, y no debe pasar de 120 mEq/L en las primeras 24 h de tratamiento. Nunca se debe sobrepasar las cifras de 135 mEq/L. </w:t>
      </w:r>
    </w:p>
    <w:p w:rsidR="003F55C3" w:rsidRPr="00BF0098" w:rsidRDefault="003F55C3" w:rsidP="00BF0098">
      <w:pPr>
        <w:pStyle w:val="Style"/>
        <w:spacing w:line="360" w:lineRule="auto"/>
        <w:ind w:left="-153" w:right="18"/>
        <w:jc w:val="both"/>
        <w:rPr>
          <w:rFonts w:ascii="Arial" w:hAnsi="Arial" w:cs="Arial"/>
          <w:lang w:val="es-ES"/>
        </w:rPr>
      </w:pPr>
      <w:r w:rsidRPr="00BF0098">
        <w:rPr>
          <w:rFonts w:ascii="Arial" w:hAnsi="Arial" w:cs="Arial"/>
          <w:lang w:val="es-ES"/>
        </w:rPr>
        <w:t>Cuando el paciente este asintomático se suspende la administración de sodio independientemente de los valores de natremia.</w:t>
      </w:r>
    </w:p>
    <w:p w:rsidR="003F55C3" w:rsidRPr="00BF0098" w:rsidRDefault="003F55C3" w:rsidP="00BF0098">
      <w:pPr>
        <w:pStyle w:val="Style"/>
        <w:spacing w:line="360" w:lineRule="auto"/>
        <w:ind w:left="-153" w:right="18"/>
        <w:jc w:val="both"/>
        <w:rPr>
          <w:rFonts w:ascii="Arial" w:hAnsi="Arial" w:cs="Arial"/>
          <w:lang w:val="es-ES"/>
        </w:rPr>
      </w:pPr>
      <w:r w:rsidRPr="00BF0098">
        <w:rPr>
          <w:rFonts w:ascii="Arial" w:hAnsi="Arial" w:cs="Arial"/>
          <w:lang w:val="es-ES"/>
        </w:rPr>
        <w:t>Para elevar la natremia a 1 mEq/L/h administran</w:t>
      </w:r>
      <w:r w:rsidRPr="00BF0098">
        <w:rPr>
          <w:rFonts w:ascii="Arial" w:hAnsi="Arial" w:cs="Arial"/>
          <w:lang w:val="es-ES"/>
        </w:rPr>
        <w:softHyphen/>
        <w:t>do sodio, hay que incorporar por hora tantos mEq de sodio Na</w:t>
      </w:r>
      <w:r w:rsidRPr="00BF0098">
        <w:rPr>
          <w:rFonts w:ascii="Arial" w:hAnsi="Arial" w:cs="Arial"/>
          <w:vertAlign w:val="superscript"/>
          <w:lang w:val="es-ES"/>
        </w:rPr>
        <w:t>+</w:t>
      </w:r>
      <w:r w:rsidRPr="00BF0098">
        <w:rPr>
          <w:rFonts w:ascii="Arial" w:hAnsi="Arial" w:cs="Arial"/>
          <w:lang w:val="es-ES"/>
        </w:rPr>
        <w:t xml:space="preserve"> como ACT tenga el enfermo. Esta es alrededor </w:t>
      </w:r>
      <w:r w:rsidRPr="00BF0098">
        <w:rPr>
          <w:rFonts w:ascii="Arial" w:hAnsi="Arial" w:cs="Arial"/>
          <w:lang w:val="es-ES"/>
        </w:rPr>
        <w:lastRenderedPageBreak/>
        <w:t xml:space="preserve">del 50 al 60 % del peso corporal, pero puede ser del 72 % en niños y del 36 % en enfermos obesos. </w:t>
      </w:r>
    </w:p>
    <w:p w:rsidR="003F55C3" w:rsidRPr="00BF0098" w:rsidRDefault="003F55C3" w:rsidP="00BF0098">
      <w:pPr>
        <w:pStyle w:val="Style"/>
        <w:spacing w:line="360" w:lineRule="auto"/>
        <w:ind w:left="-153" w:right="18"/>
        <w:jc w:val="both"/>
        <w:rPr>
          <w:rFonts w:ascii="Arial" w:hAnsi="Arial" w:cs="Arial"/>
          <w:lang w:val="es-ES"/>
        </w:rPr>
      </w:pPr>
    </w:p>
    <w:p w:rsidR="003F55C3" w:rsidRPr="00BF0098" w:rsidRDefault="003F55C3" w:rsidP="00BF0098">
      <w:pPr>
        <w:pStyle w:val="Style"/>
        <w:spacing w:line="360" w:lineRule="auto"/>
        <w:ind w:left="-153" w:right="18"/>
        <w:jc w:val="both"/>
        <w:rPr>
          <w:rFonts w:ascii="Arial" w:hAnsi="Arial" w:cs="Arial"/>
          <w:lang w:val="es-ES"/>
        </w:rPr>
      </w:pPr>
      <w:r w:rsidRPr="00BF0098">
        <w:rPr>
          <w:rFonts w:ascii="Arial" w:hAnsi="Arial" w:cs="Arial"/>
        </w:rPr>
        <w:t xml:space="preserve">TRATAMIENTO DE </w:t>
      </w:r>
      <w:smartTag w:uri="urn:schemas-microsoft-com:office:smarttags" w:element="PersonName">
        <w:smartTagPr>
          <w:attr w:name="ProductID" w:val="LA HIPONATREMIA"/>
        </w:smartTagPr>
        <w:r w:rsidRPr="00BF0098">
          <w:rPr>
            <w:rFonts w:ascii="Arial" w:hAnsi="Arial" w:cs="Arial"/>
          </w:rPr>
          <w:t>LA HIPONATREMIA</w:t>
        </w:r>
      </w:smartTag>
      <w:r w:rsidRPr="00BF0098">
        <w:rPr>
          <w:rFonts w:ascii="Arial" w:hAnsi="Arial" w:cs="Arial"/>
        </w:rPr>
        <w:t xml:space="preserve"> </w:t>
      </w:r>
    </w:p>
    <w:p w:rsidR="003F55C3" w:rsidRPr="00BF0098" w:rsidRDefault="003F55C3" w:rsidP="00BF0098">
      <w:pPr>
        <w:pStyle w:val="Style"/>
        <w:numPr>
          <w:ilvl w:val="0"/>
          <w:numId w:val="1"/>
        </w:numPr>
        <w:spacing w:line="360" w:lineRule="auto"/>
        <w:ind w:right="8" w:hanging="153"/>
        <w:jc w:val="both"/>
        <w:rPr>
          <w:rFonts w:ascii="Arial" w:hAnsi="Arial" w:cs="Arial"/>
          <w:lang w:val="es-ES"/>
        </w:rPr>
      </w:pPr>
      <w:r w:rsidRPr="00BF0098">
        <w:rPr>
          <w:rFonts w:ascii="Arial" w:hAnsi="Arial" w:cs="Arial"/>
          <w:lang w:val="es-ES"/>
        </w:rPr>
        <w:t xml:space="preserve">En la hiponatremia hiperosmolar se trata la causa. </w:t>
      </w:r>
    </w:p>
    <w:p w:rsidR="003F55C3" w:rsidRPr="00BF0098" w:rsidRDefault="003F55C3" w:rsidP="00BF0098">
      <w:pPr>
        <w:pStyle w:val="Style"/>
        <w:spacing w:line="360" w:lineRule="auto"/>
        <w:ind w:right="-1"/>
        <w:jc w:val="both"/>
        <w:rPr>
          <w:rFonts w:ascii="Arial" w:hAnsi="Arial" w:cs="Arial"/>
          <w:lang w:val="es-ES"/>
        </w:rPr>
      </w:pPr>
      <w:r w:rsidRPr="00BF0098">
        <w:rPr>
          <w:rFonts w:ascii="Arial" w:hAnsi="Arial" w:cs="Arial"/>
          <w:lang w:val="es-ES"/>
        </w:rPr>
        <w:t xml:space="preserve">Si existe hiperglucemia (síndrome hiperosmolar no cetósico) debe corregirse lentamente, a medida que baja la glucemia, se administra volumen. </w:t>
      </w:r>
    </w:p>
    <w:p w:rsidR="003F55C3" w:rsidRPr="00BF0098" w:rsidRDefault="003F55C3" w:rsidP="00BF0098">
      <w:pPr>
        <w:pStyle w:val="Style"/>
        <w:numPr>
          <w:ilvl w:val="0"/>
          <w:numId w:val="1"/>
        </w:numPr>
        <w:spacing w:line="360" w:lineRule="auto"/>
        <w:ind w:right="33" w:hanging="158"/>
        <w:jc w:val="both"/>
        <w:rPr>
          <w:rFonts w:ascii="Arial" w:hAnsi="Arial" w:cs="Arial"/>
          <w:lang w:val="es-ES"/>
        </w:rPr>
      </w:pPr>
      <w:r w:rsidRPr="00BF0098">
        <w:rPr>
          <w:rFonts w:ascii="Arial" w:hAnsi="Arial" w:cs="Arial"/>
          <w:lang w:val="es-ES"/>
        </w:rPr>
        <w:t xml:space="preserve">En la hiponatremia hipovolémica (consultar deshidratación hipovolémica): </w:t>
      </w:r>
    </w:p>
    <w:p w:rsidR="003F55C3" w:rsidRPr="00BF0098" w:rsidRDefault="003F55C3" w:rsidP="00BF0098">
      <w:pPr>
        <w:pStyle w:val="Style"/>
        <w:spacing w:line="360" w:lineRule="auto"/>
        <w:ind w:right="14"/>
        <w:jc w:val="both"/>
        <w:rPr>
          <w:rFonts w:ascii="Arial" w:hAnsi="Arial" w:cs="Arial"/>
          <w:lang w:val="es-ES"/>
        </w:rPr>
      </w:pPr>
      <w:r w:rsidRPr="00BF0098">
        <w:rPr>
          <w:rFonts w:ascii="Arial" w:hAnsi="Arial" w:cs="Arial"/>
          <w:lang w:val="es-ES"/>
        </w:rPr>
        <w:tab/>
        <w:t xml:space="preserve">Si  Na+ &gt; que 120 mmol/L, administrar de </w:t>
      </w:r>
      <w:smartTag w:uri="urn:schemas-microsoft-com:office:smarttags" w:element="metricconverter">
        <w:smartTagPr>
          <w:attr w:name="ProductID" w:val="10 a"/>
        </w:smartTagPr>
        <w:r w:rsidRPr="00BF0098">
          <w:rPr>
            <w:rFonts w:ascii="Arial" w:hAnsi="Arial" w:cs="Arial"/>
            <w:lang w:val="es-ES"/>
          </w:rPr>
          <w:t>10 a</w:t>
        </w:r>
      </w:smartTag>
      <w:r w:rsidRPr="00BF0098">
        <w:rPr>
          <w:rFonts w:ascii="Arial" w:hAnsi="Arial" w:cs="Arial"/>
          <w:lang w:val="es-ES"/>
        </w:rPr>
        <w:t xml:space="preserve"> 20 mL/kg de SSF. </w:t>
      </w:r>
    </w:p>
    <w:p w:rsidR="003F55C3" w:rsidRPr="00BF0098" w:rsidRDefault="003F55C3" w:rsidP="00BF0098">
      <w:pPr>
        <w:pStyle w:val="Style"/>
        <w:spacing w:line="360" w:lineRule="auto"/>
        <w:ind w:right="52" w:firstLine="105"/>
        <w:jc w:val="both"/>
        <w:rPr>
          <w:rFonts w:ascii="Arial" w:hAnsi="Arial" w:cs="Arial"/>
          <w:lang w:val="es-ES"/>
        </w:rPr>
      </w:pPr>
      <w:r w:rsidRPr="00BF0098">
        <w:rPr>
          <w:rFonts w:ascii="Arial" w:hAnsi="Arial" w:cs="Arial"/>
          <w:lang w:val="es-ES"/>
        </w:rPr>
        <w:t xml:space="preserve">          Si Na+ &lt; que 120 mmol/L, administrar  solución salina al 3 %. </w:t>
      </w:r>
    </w:p>
    <w:p w:rsidR="003F55C3" w:rsidRPr="00BF0098" w:rsidRDefault="003F55C3" w:rsidP="00BF0098">
      <w:pPr>
        <w:pStyle w:val="Textoindependiente"/>
        <w:spacing w:line="360" w:lineRule="auto"/>
        <w:jc w:val="both"/>
        <w:rPr>
          <w:rFonts w:ascii="Arial" w:hAnsi="Arial" w:cs="Arial"/>
          <w:lang w:val="pt-BR"/>
        </w:rPr>
      </w:pPr>
      <w:r w:rsidRPr="00BF0098">
        <w:rPr>
          <w:rFonts w:ascii="Arial" w:hAnsi="Arial" w:cs="Arial"/>
          <w:lang w:val="es-ES"/>
        </w:rPr>
        <w:t xml:space="preserve">                </w:t>
      </w:r>
      <w:r w:rsidRPr="00BF0098">
        <w:rPr>
          <w:rFonts w:ascii="Arial" w:hAnsi="Arial" w:cs="Arial"/>
          <w:lang w:val="pt-BR"/>
        </w:rPr>
        <w:t xml:space="preserve">Na ideal - Na real x 0,6xkg = </w:t>
      </w:r>
      <w:proofErr w:type="gramStart"/>
      <w:r w:rsidRPr="00BF0098">
        <w:rPr>
          <w:rFonts w:ascii="Arial" w:hAnsi="Arial" w:cs="Arial"/>
          <w:lang w:val="pt-BR"/>
        </w:rPr>
        <w:t>mEq</w:t>
      </w:r>
      <w:proofErr w:type="gramEnd"/>
      <w:r w:rsidRPr="00BF0098">
        <w:rPr>
          <w:rFonts w:ascii="Arial" w:hAnsi="Arial" w:cs="Arial"/>
          <w:lang w:val="pt-BR"/>
        </w:rPr>
        <w:t xml:space="preserve"> de Na+</w:t>
      </w:r>
    </w:p>
    <w:p w:rsidR="003F55C3" w:rsidRPr="00BF0098" w:rsidRDefault="003F55C3" w:rsidP="00BF0098">
      <w:pPr>
        <w:pStyle w:val="Textoindependiente"/>
        <w:spacing w:line="360" w:lineRule="auto"/>
        <w:jc w:val="both"/>
        <w:rPr>
          <w:rFonts w:ascii="Arial" w:hAnsi="Arial" w:cs="Arial"/>
          <w:lang w:val="es-ES"/>
        </w:rPr>
      </w:pPr>
      <w:r w:rsidRPr="00BF0098">
        <w:rPr>
          <w:rFonts w:ascii="Arial" w:hAnsi="Arial" w:cs="Arial"/>
          <w:lang w:val="pt-BR"/>
        </w:rPr>
        <w:t xml:space="preserve"> </w:t>
      </w:r>
      <w:r w:rsidRPr="00BF0098">
        <w:rPr>
          <w:rFonts w:ascii="Arial" w:hAnsi="Arial" w:cs="Arial"/>
          <w:lang w:val="es-ES"/>
        </w:rPr>
        <w:t>Después de la primera hora de tratado se realizan exámenes complementarios y se sigue según el comportamiento clínico y sus resultados</w:t>
      </w:r>
    </w:p>
    <w:p w:rsidR="003F55C3" w:rsidRPr="00BF0098" w:rsidRDefault="003F55C3" w:rsidP="00BF0098">
      <w:pPr>
        <w:pStyle w:val="Style"/>
        <w:spacing w:line="360" w:lineRule="auto"/>
        <w:jc w:val="both"/>
        <w:rPr>
          <w:rFonts w:ascii="Arial" w:hAnsi="Arial" w:cs="Arial"/>
          <w:lang w:val="es-ES"/>
        </w:rPr>
      </w:pPr>
      <w:r w:rsidRPr="00BF0098">
        <w:rPr>
          <w:rFonts w:ascii="Arial" w:hAnsi="Arial" w:cs="Arial"/>
          <w:lang w:val="es-ES"/>
        </w:rPr>
        <w:t>Utilizar solución salina isotónica ó hipertónica de</w:t>
      </w:r>
      <w:r w:rsidRPr="00BF0098">
        <w:rPr>
          <w:rFonts w:ascii="Arial" w:hAnsi="Arial" w:cs="Arial"/>
          <w:lang w:val="es-ES"/>
        </w:rPr>
        <w:softHyphen/>
        <w:t>pende fundamentalmente del volumen que se de</w:t>
      </w:r>
      <w:r w:rsidRPr="00BF0098">
        <w:rPr>
          <w:rFonts w:ascii="Arial" w:hAnsi="Arial" w:cs="Arial"/>
          <w:lang w:val="es-ES"/>
        </w:rPr>
        <w:softHyphen/>
        <w:t xml:space="preserve">see administrar. Si hipovolemia o </w:t>
      </w:r>
      <w:r w:rsidRPr="00BF0098">
        <w:rPr>
          <w:rFonts w:ascii="Arial" w:hAnsi="Arial" w:cs="Arial"/>
          <w:iCs/>
          <w:lang w:val="es-ES"/>
        </w:rPr>
        <w:t xml:space="preserve">shock, </w:t>
      </w:r>
      <w:r w:rsidRPr="00BF0098">
        <w:rPr>
          <w:rFonts w:ascii="Arial" w:hAnsi="Arial" w:cs="Arial"/>
          <w:lang w:val="es-ES"/>
        </w:rPr>
        <w:t>es preferible la solución isotónica y/o coloides. Si normovolemia o hipervolemia considerar uso del sodio hipertonico.</w:t>
      </w:r>
    </w:p>
    <w:p w:rsidR="003F55C3" w:rsidRPr="00BF0098" w:rsidRDefault="003F55C3" w:rsidP="00BF0098">
      <w:pPr>
        <w:pStyle w:val="Style"/>
        <w:numPr>
          <w:ilvl w:val="0"/>
          <w:numId w:val="1"/>
        </w:numPr>
        <w:spacing w:line="360" w:lineRule="auto"/>
        <w:ind w:right="9" w:hanging="163"/>
        <w:jc w:val="both"/>
        <w:rPr>
          <w:rFonts w:ascii="Arial" w:hAnsi="Arial" w:cs="Arial"/>
          <w:lang w:val="es-ES"/>
        </w:rPr>
      </w:pPr>
      <w:r w:rsidRPr="00BF0098">
        <w:rPr>
          <w:rFonts w:ascii="Arial" w:hAnsi="Arial" w:cs="Arial"/>
          <w:lang w:val="es-ES"/>
        </w:rPr>
        <w:t>En la intoxicación acuosa, re</w:t>
      </w:r>
      <w:r w:rsidRPr="00BF0098">
        <w:rPr>
          <w:rFonts w:ascii="Arial" w:hAnsi="Arial" w:cs="Arial"/>
          <w:lang w:val="es-ES"/>
        </w:rPr>
        <w:softHyphen/>
        <w:t>ducir al máximo el aporte de agua. Si la hipervolemia es grave se administra un diurético de asa. Si disfuncion renal y el cuadro  es muy grave esta indicada la diálisis o</w:t>
      </w:r>
      <w:r w:rsidRPr="00BF0098">
        <w:rPr>
          <w:rFonts w:ascii="Arial" w:hAnsi="Arial" w:cs="Arial"/>
          <w:w w:val="135"/>
          <w:lang w:val="es-ES"/>
        </w:rPr>
        <w:t xml:space="preserve"> </w:t>
      </w:r>
      <w:r w:rsidRPr="00BF0098">
        <w:rPr>
          <w:rFonts w:ascii="Arial" w:hAnsi="Arial" w:cs="Arial"/>
          <w:lang w:val="es-ES"/>
        </w:rPr>
        <w:t xml:space="preserve">la ultrafiltración. </w:t>
      </w:r>
    </w:p>
    <w:p w:rsidR="003F55C3" w:rsidRPr="00BF0098" w:rsidRDefault="003F55C3" w:rsidP="00BF0098">
      <w:pPr>
        <w:pStyle w:val="Textoindependiente"/>
        <w:spacing w:line="360" w:lineRule="auto"/>
        <w:jc w:val="both"/>
        <w:rPr>
          <w:rFonts w:ascii="Arial" w:hAnsi="Arial" w:cs="Arial"/>
          <w:lang w:val="es-ES"/>
        </w:rPr>
      </w:pPr>
      <w:r w:rsidRPr="00BF0098">
        <w:rPr>
          <w:rFonts w:ascii="Arial" w:hAnsi="Arial" w:cs="Arial"/>
          <w:lang w:val="es-ES"/>
        </w:rPr>
        <w:t>Si la hiponatremia es sintomática e importante, con Na</w:t>
      </w:r>
      <w:r w:rsidRPr="00BF0098">
        <w:rPr>
          <w:rFonts w:ascii="Arial" w:hAnsi="Arial" w:cs="Arial"/>
          <w:vertAlign w:val="superscript"/>
          <w:lang w:val="es-ES"/>
        </w:rPr>
        <w:t>+</w:t>
      </w:r>
      <w:r w:rsidRPr="00BF0098">
        <w:rPr>
          <w:rFonts w:ascii="Arial" w:hAnsi="Arial" w:cs="Arial"/>
          <w:lang w:val="es-ES"/>
        </w:rPr>
        <w:t xml:space="preserve">p menor que </w:t>
      </w:r>
      <w:r w:rsidRPr="00BF0098">
        <w:rPr>
          <w:rFonts w:ascii="Arial" w:hAnsi="Arial" w:cs="Arial"/>
          <w:bCs/>
          <w:w w:val="89"/>
          <w:lang w:val="es-ES"/>
        </w:rPr>
        <w:t xml:space="preserve">110 </w:t>
      </w:r>
      <w:r w:rsidRPr="00BF0098">
        <w:rPr>
          <w:rFonts w:ascii="Arial" w:hAnsi="Arial" w:cs="Arial"/>
          <w:lang w:val="es-ES"/>
        </w:rPr>
        <w:t xml:space="preserve">mEq/L, se puede utilizar solución salina hipertónica; siempre con un diurético de asa. </w:t>
      </w:r>
    </w:p>
    <w:p w:rsidR="003F55C3" w:rsidRPr="00BF0098" w:rsidRDefault="003F55C3" w:rsidP="00BF0098">
      <w:pPr>
        <w:pStyle w:val="Style"/>
        <w:numPr>
          <w:ilvl w:val="0"/>
          <w:numId w:val="1"/>
        </w:numPr>
        <w:spacing w:line="360" w:lineRule="auto"/>
        <w:ind w:right="9" w:hanging="163"/>
        <w:jc w:val="both"/>
        <w:rPr>
          <w:rFonts w:ascii="Arial" w:hAnsi="Arial" w:cs="Arial"/>
          <w:b/>
        </w:rPr>
      </w:pPr>
      <w:r w:rsidRPr="00BF0098">
        <w:rPr>
          <w:rFonts w:ascii="Arial" w:hAnsi="Arial" w:cs="Arial"/>
          <w:lang w:val="es-ES"/>
        </w:rPr>
        <w:t>En el SIADH se reduce la ingestión de agua a 500 mL/dia. Si se conoce la causa tratarla. Si el cuadro no cede en pocos días, se puede admi</w:t>
      </w:r>
      <w:r w:rsidRPr="00BF0098">
        <w:rPr>
          <w:rFonts w:ascii="Arial" w:hAnsi="Arial" w:cs="Arial"/>
          <w:lang w:val="es-ES"/>
        </w:rPr>
        <w:softHyphen/>
        <w:t xml:space="preserve">nistrar </w:t>
      </w:r>
    </w:p>
    <w:p w:rsidR="003F55C3" w:rsidRPr="00BF0098" w:rsidRDefault="003F55C3" w:rsidP="00BF0098">
      <w:pPr>
        <w:pStyle w:val="Style"/>
        <w:spacing w:line="360" w:lineRule="auto"/>
        <w:ind w:right="9"/>
        <w:jc w:val="both"/>
        <w:rPr>
          <w:rFonts w:ascii="Arial" w:hAnsi="Arial" w:cs="Arial"/>
          <w:lang w:val="es-ES"/>
        </w:rPr>
      </w:pPr>
    </w:p>
    <w:p w:rsidR="003F55C3" w:rsidRPr="00BF0098" w:rsidRDefault="003F55C3" w:rsidP="00BF0098">
      <w:pPr>
        <w:pStyle w:val="Style"/>
        <w:spacing w:line="360" w:lineRule="auto"/>
        <w:ind w:right="9"/>
        <w:jc w:val="both"/>
        <w:rPr>
          <w:rFonts w:ascii="Arial" w:hAnsi="Arial" w:cs="Arial"/>
          <w:lang w:val="es-ES"/>
        </w:rPr>
      </w:pPr>
      <w:r w:rsidRPr="00BF0098">
        <w:rPr>
          <w:rFonts w:ascii="Arial" w:hAnsi="Arial" w:cs="Arial"/>
          <w:lang w:val="es-ES"/>
        </w:rPr>
        <w:t xml:space="preserve">HIPERNATREMIA </w:t>
      </w:r>
    </w:p>
    <w:p w:rsidR="003F55C3" w:rsidRPr="00BF0098" w:rsidRDefault="003F55C3" w:rsidP="00BF0098">
      <w:pPr>
        <w:pStyle w:val="Style"/>
        <w:numPr>
          <w:ilvl w:val="0"/>
          <w:numId w:val="5"/>
        </w:numPr>
        <w:spacing w:line="360" w:lineRule="auto"/>
        <w:ind w:left="0"/>
        <w:jc w:val="both"/>
        <w:rPr>
          <w:rFonts w:ascii="Arial" w:hAnsi="Arial" w:cs="Arial"/>
          <w:lang w:val="es-ES"/>
        </w:rPr>
      </w:pPr>
      <w:r w:rsidRPr="00BF0098">
        <w:rPr>
          <w:rFonts w:ascii="Arial" w:hAnsi="Arial" w:cs="Arial"/>
          <w:lang w:val="es-ES"/>
        </w:rPr>
        <w:t>Concepto Se considera hipernatremia cuando la concentración de sodio plasmático es superior a 150 mmol/L sin importar que el sodio total o el contenido de agua corpo</w:t>
      </w:r>
      <w:r w:rsidRPr="00BF0098">
        <w:rPr>
          <w:rFonts w:ascii="Arial" w:hAnsi="Arial" w:cs="Arial"/>
          <w:lang w:val="es-ES"/>
        </w:rPr>
        <w:softHyphen/>
        <w:t>ral este normal, disminuido o aumentado. La hipernatremia es debida a la perdida de agua sola o po</w:t>
      </w:r>
      <w:r w:rsidRPr="00BF0098">
        <w:rPr>
          <w:rFonts w:ascii="Arial" w:hAnsi="Arial" w:cs="Arial"/>
          <w:lang w:val="es-ES"/>
        </w:rPr>
        <w:softHyphen/>
        <w:t>bre en sodio, o por aporte excesivo de sodio, generalmente se asocia a trastornos de volumen.</w:t>
      </w:r>
    </w:p>
    <w:p w:rsidR="003F55C3" w:rsidRPr="00BF0098" w:rsidRDefault="003F55C3" w:rsidP="00BF0098">
      <w:pPr>
        <w:pStyle w:val="Style"/>
        <w:numPr>
          <w:ilvl w:val="0"/>
          <w:numId w:val="5"/>
        </w:numPr>
        <w:spacing w:line="360" w:lineRule="auto"/>
        <w:ind w:left="0"/>
        <w:rPr>
          <w:rFonts w:ascii="Arial" w:hAnsi="Arial" w:cs="Arial"/>
        </w:rPr>
      </w:pPr>
      <w:r w:rsidRPr="00BF0098">
        <w:rPr>
          <w:rFonts w:ascii="Arial" w:hAnsi="Arial" w:cs="Arial"/>
        </w:rPr>
        <w:t>Etiología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938"/>
        <w:gridCol w:w="2885"/>
        <w:gridCol w:w="2897"/>
      </w:tblGrid>
      <w:tr w:rsidR="003F55C3" w:rsidRPr="00BF0098" w:rsidTr="008969F7">
        <w:tc>
          <w:tcPr>
            <w:tcW w:w="2952" w:type="dxa"/>
          </w:tcPr>
          <w:p w:rsidR="003F55C3" w:rsidRPr="00BF0098" w:rsidRDefault="003F55C3" w:rsidP="00BF0098">
            <w:pPr>
              <w:pStyle w:val="mmpara"/>
              <w:spacing w:after="100" w:afterAutospacing="1" w:line="360" w:lineRule="auto"/>
              <w:rPr>
                <w:color w:val="auto"/>
                <w:sz w:val="24"/>
                <w:szCs w:val="24"/>
              </w:rPr>
            </w:pPr>
            <w:r w:rsidRPr="00BF0098">
              <w:rPr>
                <w:color w:val="auto"/>
                <w:sz w:val="24"/>
                <w:szCs w:val="24"/>
              </w:rPr>
              <w:lastRenderedPageBreak/>
              <w:t xml:space="preserve">Euvolemia </w:t>
            </w:r>
          </w:p>
        </w:tc>
        <w:tc>
          <w:tcPr>
            <w:tcW w:w="2952" w:type="dxa"/>
          </w:tcPr>
          <w:p w:rsidR="003F55C3" w:rsidRPr="00BF0098" w:rsidRDefault="003F55C3" w:rsidP="00BF0098">
            <w:pPr>
              <w:pStyle w:val="mmpara"/>
              <w:spacing w:after="100" w:afterAutospacing="1" w:line="360" w:lineRule="auto"/>
              <w:rPr>
                <w:color w:val="auto"/>
                <w:sz w:val="24"/>
                <w:szCs w:val="24"/>
              </w:rPr>
            </w:pPr>
            <w:r w:rsidRPr="00BF0098">
              <w:rPr>
                <w:color w:val="auto"/>
                <w:sz w:val="24"/>
                <w:szCs w:val="24"/>
              </w:rPr>
              <w:t xml:space="preserve">Hipovolemia </w:t>
            </w:r>
          </w:p>
        </w:tc>
        <w:tc>
          <w:tcPr>
            <w:tcW w:w="2952" w:type="dxa"/>
          </w:tcPr>
          <w:p w:rsidR="003F55C3" w:rsidRPr="00BF0098" w:rsidRDefault="003F55C3" w:rsidP="00BF0098">
            <w:pPr>
              <w:pStyle w:val="mmpara"/>
              <w:spacing w:after="100" w:afterAutospacing="1" w:line="360" w:lineRule="auto"/>
              <w:rPr>
                <w:color w:val="auto"/>
                <w:sz w:val="24"/>
                <w:szCs w:val="24"/>
              </w:rPr>
            </w:pPr>
            <w:r w:rsidRPr="00BF0098">
              <w:rPr>
                <w:color w:val="auto"/>
                <w:sz w:val="24"/>
                <w:szCs w:val="24"/>
              </w:rPr>
              <w:t xml:space="preserve">Hipervolemia </w:t>
            </w:r>
          </w:p>
        </w:tc>
      </w:tr>
      <w:tr w:rsidR="003F55C3" w:rsidRPr="00BF0098" w:rsidTr="008969F7">
        <w:tc>
          <w:tcPr>
            <w:tcW w:w="2952" w:type="dxa"/>
          </w:tcPr>
          <w:p w:rsidR="003F55C3" w:rsidRPr="00BF0098" w:rsidRDefault="003F55C3" w:rsidP="00BF0098">
            <w:pPr>
              <w:pStyle w:val="mmpara"/>
              <w:spacing w:after="100" w:afterAutospacing="1" w:line="360" w:lineRule="auto"/>
              <w:rPr>
                <w:color w:val="auto"/>
                <w:sz w:val="24"/>
                <w:szCs w:val="24"/>
                <w:lang w:val="es-ES"/>
              </w:rPr>
            </w:pPr>
            <w:r w:rsidRPr="00BF0098">
              <w:rPr>
                <w:color w:val="auto"/>
                <w:sz w:val="24"/>
                <w:szCs w:val="24"/>
                <w:lang w:val="es-ES"/>
              </w:rPr>
              <w:t>Dialisis peritoneal o hemodiálisis</w:t>
            </w:r>
          </w:p>
          <w:p w:rsidR="003F55C3" w:rsidRPr="00BF0098" w:rsidRDefault="003F55C3" w:rsidP="00BF0098">
            <w:pPr>
              <w:pStyle w:val="mmpara"/>
              <w:spacing w:after="100" w:afterAutospacing="1" w:line="360" w:lineRule="auto"/>
              <w:rPr>
                <w:color w:val="auto"/>
                <w:sz w:val="24"/>
                <w:szCs w:val="24"/>
                <w:lang w:val="es-ES"/>
              </w:rPr>
            </w:pPr>
            <w:r w:rsidRPr="00BF0098">
              <w:rPr>
                <w:color w:val="auto"/>
                <w:sz w:val="24"/>
                <w:szCs w:val="24"/>
                <w:lang w:val="es-ES"/>
              </w:rPr>
              <w:t>Exanguineotransfusion en recién nacidos con peso menor de 1500g,</w:t>
            </w:r>
          </w:p>
          <w:p w:rsidR="003F55C3" w:rsidRPr="00BF0098" w:rsidRDefault="003F55C3" w:rsidP="00BF0098">
            <w:pPr>
              <w:pStyle w:val="mmpara"/>
              <w:spacing w:after="100" w:afterAutospacing="1" w:line="360" w:lineRule="auto"/>
              <w:rPr>
                <w:color w:val="auto"/>
                <w:sz w:val="24"/>
                <w:szCs w:val="24"/>
                <w:lang w:val="es-ES"/>
              </w:rPr>
            </w:pPr>
            <w:r w:rsidRPr="00BF0098">
              <w:rPr>
                <w:color w:val="auto"/>
                <w:sz w:val="24"/>
                <w:szCs w:val="24"/>
                <w:lang w:val="es-ES"/>
              </w:rPr>
              <w:t xml:space="preserve">Iatrogénicas, </w:t>
            </w:r>
          </w:p>
          <w:p w:rsidR="003F55C3" w:rsidRPr="00BF0098" w:rsidRDefault="003F55C3" w:rsidP="00BF0098">
            <w:pPr>
              <w:pStyle w:val="mmpara"/>
              <w:spacing w:after="100" w:afterAutospacing="1" w:line="360" w:lineRule="auto"/>
              <w:rPr>
                <w:color w:val="auto"/>
                <w:sz w:val="24"/>
                <w:szCs w:val="24"/>
                <w:lang w:val="es-ES"/>
              </w:rPr>
            </w:pPr>
            <w:r w:rsidRPr="00BF0098">
              <w:rPr>
                <w:color w:val="auto"/>
                <w:sz w:val="24"/>
                <w:szCs w:val="24"/>
                <w:lang w:val="es-ES"/>
              </w:rPr>
              <w:t>Esencial</w:t>
            </w:r>
          </w:p>
          <w:p w:rsidR="003F55C3" w:rsidRPr="00BF0098" w:rsidRDefault="003F55C3" w:rsidP="00BF0098">
            <w:pPr>
              <w:pStyle w:val="mmpara"/>
              <w:spacing w:after="100" w:afterAutospacing="1" w:line="360" w:lineRule="auto"/>
              <w:rPr>
                <w:color w:val="auto"/>
                <w:sz w:val="24"/>
                <w:szCs w:val="24"/>
                <w:lang w:val="es-ES"/>
              </w:rPr>
            </w:pPr>
            <w:r w:rsidRPr="00BF0098">
              <w:rPr>
                <w:color w:val="auto"/>
                <w:sz w:val="24"/>
                <w:szCs w:val="24"/>
                <w:lang w:val="es-ES"/>
              </w:rPr>
              <w:t xml:space="preserve">  Error al preparar la formula</w:t>
            </w:r>
          </w:p>
        </w:tc>
        <w:tc>
          <w:tcPr>
            <w:tcW w:w="2952" w:type="dxa"/>
          </w:tcPr>
          <w:p w:rsidR="003F55C3" w:rsidRPr="00BF0098" w:rsidRDefault="003F55C3" w:rsidP="00BF0098">
            <w:pPr>
              <w:pStyle w:val="mmpara"/>
              <w:spacing w:after="100" w:afterAutospacing="1" w:line="360" w:lineRule="auto"/>
              <w:rPr>
                <w:color w:val="auto"/>
                <w:sz w:val="24"/>
                <w:szCs w:val="24"/>
                <w:lang w:val="es-ES"/>
              </w:rPr>
            </w:pPr>
            <w:r w:rsidRPr="00BF0098">
              <w:rPr>
                <w:color w:val="auto"/>
                <w:sz w:val="24"/>
                <w:szCs w:val="24"/>
                <w:lang w:val="es-ES"/>
              </w:rPr>
              <w:t>EDA</w:t>
            </w:r>
          </w:p>
          <w:p w:rsidR="003F55C3" w:rsidRPr="00BF0098" w:rsidRDefault="003F55C3" w:rsidP="00BF0098">
            <w:pPr>
              <w:pStyle w:val="mmpara"/>
              <w:spacing w:after="100" w:afterAutospacing="1" w:line="360" w:lineRule="auto"/>
              <w:rPr>
                <w:color w:val="auto"/>
                <w:sz w:val="24"/>
                <w:szCs w:val="24"/>
                <w:lang w:val="es-ES"/>
              </w:rPr>
            </w:pPr>
            <w:r w:rsidRPr="00BF0098">
              <w:rPr>
                <w:color w:val="auto"/>
                <w:sz w:val="24"/>
                <w:szCs w:val="24"/>
                <w:lang w:val="es-ES"/>
              </w:rPr>
              <w:t>Diabetes mellitas</w:t>
            </w:r>
          </w:p>
          <w:p w:rsidR="003F55C3" w:rsidRPr="00BF0098" w:rsidRDefault="003F55C3" w:rsidP="00BF0098">
            <w:pPr>
              <w:pStyle w:val="mmpara"/>
              <w:spacing w:after="100" w:afterAutospacing="1" w:line="360" w:lineRule="auto"/>
              <w:rPr>
                <w:color w:val="auto"/>
                <w:sz w:val="24"/>
                <w:szCs w:val="24"/>
                <w:lang w:val="es-ES"/>
              </w:rPr>
            </w:pPr>
            <w:r w:rsidRPr="00BF0098">
              <w:rPr>
                <w:color w:val="auto"/>
                <w:sz w:val="24"/>
                <w:szCs w:val="24"/>
                <w:lang w:val="es-ES"/>
              </w:rPr>
              <w:t>Diabetes insípida</w:t>
            </w:r>
          </w:p>
          <w:p w:rsidR="003F55C3" w:rsidRPr="00BF0098" w:rsidRDefault="003F55C3" w:rsidP="00BF0098">
            <w:pPr>
              <w:pStyle w:val="mmpara"/>
              <w:spacing w:after="100" w:afterAutospacing="1" w:line="360" w:lineRule="auto"/>
              <w:rPr>
                <w:color w:val="auto"/>
                <w:sz w:val="24"/>
                <w:szCs w:val="24"/>
                <w:lang w:val="es-ES"/>
              </w:rPr>
            </w:pPr>
            <w:r w:rsidRPr="00BF0098">
              <w:rPr>
                <w:color w:val="auto"/>
                <w:sz w:val="24"/>
                <w:szCs w:val="24"/>
                <w:lang w:val="es-ES"/>
              </w:rPr>
              <w:t>Ingestión de leche recalentada</w:t>
            </w:r>
          </w:p>
          <w:p w:rsidR="003F55C3" w:rsidRPr="00BF0098" w:rsidRDefault="003F55C3" w:rsidP="00BF0098">
            <w:pPr>
              <w:pStyle w:val="mmpara"/>
              <w:spacing w:after="100" w:afterAutospacing="1" w:line="360" w:lineRule="auto"/>
              <w:rPr>
                <w:color w:val="auto"/>
                <w:sz w:val="24"/>
                <w:szCs w:val="24"/>
                <w:lang w:val="es-ES"/>
              </w:rPr>
            </w:pPr>
            <w:r w:rsidRPr="00BF0098">
              <w:rPr>
                <w:color w:val="auto"/>
                <w:sz w:val="24"/>
                <w:szCs w:val="24"/>
                <w:lang w:val="es-ES"/>
              </w:rPr>
              <w:t>Falta de sed</w:t>
            </w:r>
          </w:p>
        </w:tc>
        <w:tc>
          <w:tcPr>
            <w:tcW w:w="2952" w:type="dxa"/>
          </w:tcPr>
          <w:p w:rsidR="003F55C3" w:rsidRPr="00BF0098" w:rsidRDefault="003F55C3" w:rsidP="00BF0098">
            <w:pPr>
              <w:pStyle w:val="mmpara"/>
              <w:spacing w:after="100" w:afterAutospacing="1" w:line="360" w:lineRule="auto"/>
              <w:rPr>
                <w:color w:val="auto"/>
                <w:sz w:val="24"/>
                <w:szCs w:val="24"/>
                <w:lang w:val="es-ES"/>
              </w:rPr>
            </w:pPr>
            <w:r w:rsidRPr="00BF0098">
              <w:rPr>
                <w:color w:val="auto"/>
                <w:sz w:val="24"/>
                <w:szCs w:val="24"/>
                <w:lang w:val="es-ES"/>
              </w:rPr>
              <w:t>Administración de solucion salina hipertonica</w:t>
            </w:r>
          </w:p>
          <w:p w:rsidR="003F55C3" w:rsidRPr="00BF0098" w:rsidRDefault="003F55C3" w:rsidP="00BF0098">
            <w:pPr>
              <w:pStyle w:val="mmpara"/>
              <w:spacing w:after="100" w:afterAutospacing="1" w:line="360" w:lineRule="auto"/>
              <w:rPr>
                <w:color w:val="auto"/>
                <w:sz w:val="24"/>
                <w:szCs w:val="24"/>
                <w:lang w:val="es-ES"/>
              </w:rPr>
            </w:pPr>
            <w:r w:rsidRPr="00BF0098">
              <w:rPr>
                <w:color w:val="auto"/>
                <w:sz w:val="24"/>
                <w:szCs w:val="24"/>
                <w:lang w:val="es-ES"/>
              </w:rPr>
              <w:t>Exceso de esteroide suprarrenales</w:t>
            </w:r>
          </w:p>
          <w:p w:rsidR="003F55C3" w:rsidRPr="00BF0098" w:rsidRDefault="003F55C3" w:rsidP="00BF0098">
            <w:pPr>
              <w:pStyle w:val="mmpara"/>
              <w:spacing w:after="100" w:afterAutospacing="1" w:line="360" w:lineRule="auto"/>
              <w:rPr>
                <w:color w:val="auto"/>
                <w:sz w:val="24"/>
                <w:szCs w:val="24"/>
                <w:lang w:val="es-ES"/>
              </w:rPr>
            </w:pPr>
            <w:r w:rsidRPr="00BF0098">
              <w:rPr>
                <w:color w:val="auto"/>
                <w:sz w:val="24"/>
                <w:szCs w:val="24"/>
                <w:lang w:val="es-ES"/>
              </w:rPr>
              <w:t>Perdida aguda de agua en pacientes edematosos</w:t>
            </w:r>
          </w:p>
        </w:tc>
      </w:tr>
    </w:tbl>
    <w:p w:rsidR="003F55C3" w:rsidRPr="00BF0098" w:rsidRDefault="003F55C3" w:rsidP="00BF0098">
      <w:pPr>
        <w:pStyle w:val="Style"/>
        <w:spacing w:after="100" w:afterAutospacing="1" w:line="360" w:lineRule="auto"/>
        <w:rPr>
          <w:rFonts w:ascii="Arial" w:hAnsi="Arial" w:cs="Arial"/>
          <w:lang w:val="es-ES"/>
        </w:rPr>
      </w:pPr>
    </w:p>
    <w:p w:rsidR="003F55C3" w:rsidRPr="00BF0098" w:rsidRDefault="003F55C3" w:rsidP="00BF0098">
      <w:pPr>
        <w:pStyle w:val="Style"/>
        <w:tabs>
          <w:tab w:val="left" w:pos="2835"/>
        </w:tabs>
        <w:spacing w:after="100" w:afterAutospacing="1" w:line="360" w:lineRule="auto"/>
        <w:rPr>
          <w:rFonts w:ascii="Arial" w:hAnsi="Arial" w:cs="Arial"/>
          <w:lang w:val="es-ES"/>
        </w:rPr>
      </w:pPr>
      <w:proofErr w:type="gramStart"/>
      <w:r w:rsidRPr="00BF0098">
        <w:rPr>
          <w:rFonts w:ascii="Arial" w:hAnsi="Arial" w:cs="Arial"/>
          <w:lang w:val="es-ES"/>
        </w:rPr>
        <w:t>3.Cuadro</w:t>
      </w:r>
      <w:proofErr w:type="gramEnd"/>
      <w:r w:rsidRPr="00BF0098">
        <w:rPr>
          <w:rFonts w:ascii="Arial" w:hAnsi="Arial" w:cs="Arial"/>
          <w:lang w:val="es-ES"/>
        </w:rPr>
        <w:t xml:space="preserve"> clínico</w:t>
      </w:r>
    </w:p>
    <w:p w:rsidR="003F55C3" w:rsidRPr="00BF0098" w:rsidRDefault="003F55C3" w:rsidP="00BF0098">
      <w:pPr>
        <w:pStyle w:val="Style"/>
        <w:tabs>
          <w:tab w:val="left" w:pos="2835"/>
        </w:tabs>
        <w:spacing w:after="100" w:afterAutospacing="1" w:line="360" w:lineRule="auto"/>
        <w:jc w:val="both"/>
        <w:rPr>
          <w:rFonts w:ascii="Arial" w:hAnsi="Arial" w:cs="Arial"/>
          <w:lang w:val="es-ES"/>
        </w:rPr>
      </w:pPr>
      <w:r w:rsidRPr="00BF0098">
        <w:rPr>
          <w:rFonts w:ascii="Arial" w:hAnsi="Arial" w:cs="Arial"/>
          <w:lang w:val="es-ES"/>
        </w:rPr>
        <w:t xml:space="preserve">El cuadro clínico de la hipernatremia y estados hiperosmolares generalmente son neurológicos relacionados con la deshidratación celular ye incluyen irritabilidabilidad, letargo, hiperreflexia, y espasticidad.El </w:t>
      </w:r>
      <w:proofErr w:type="gramStart"/>
      <w:r w:rsidRPr="00BF0098">
        <w:rPr>
          <w:rFonts w:ascii="Arial" w:hAnsi="Arial" w:cs="Arial"/>
          <w:lang w:val="es-ES"/>
        </w:rPr>
        <w:t>coma ,</w:t>
      </w:r>
      <w:proofErr w:type="gramEnd"/>
      <w:r w:rsidRPr="00BF0098">
        <w:rPr>
          <w:rFonts w:ascii="Arial" w:hAnsi="Arial" w:cs="Arial"/>
          <w:lang w:val="es-ES"/>
        </w:rPr>
        <w:t xml:space="preserve"> las convulsiones yla muerte ocurren tardíamente .La hipernatremia aguda produce cogestión venosa y de los capilares , sangrado subcortical y subaracnoideoy trombosis venosas. Algunos de estos cambios se evidencian por estudios tomográficos La mortalidad por hipernatremia aguda es alta siempre que el sodio aumenta por encima de de los 160 mEq/L.Los sobrevivientes de hipernatremia aguda generalmente quedan con secuelas neurológicas </w:t>
      </w:r>
    </w:p>
    <w:p w:rsidR="003F55C3" w:rsidRPr="00BF0098" w:rsidRDefault="003F55C3" w:rsidP="00BF0098">
      <w:pPr>
        <w:pStyle w:val="Style"/>
        <w:spacing w:after="100" w:afterAutospacing="1" w:line="360" w:lineRule="auto"/>
        <w:rPr>
          <w:rFonts w:ascii="Arial" w:hAnsi="Arial" w:cs="Arial"/>
        </w:rPr>
      </w:pPr>
      <w:proofErr w:type="gramStart"/>
      <w:r w:rsidRPr="00BF0098">
        <w:rPr>
          <w:rFonts w:ascii="Arial" w:hAnsi="Arial" w:cs="Arial"/>
          <w:lang w:val="es-ES"/>
        </w:rPr>
        <w:t>4</w:t>
      </w:r>
      <w:r w:rsidRPr="00BF0098">
        <w:rPr>
          <w:rFonts w:ascii="Arial" w:hAnsi="Arial" w:cs="Arial"/>
          <w:b/>
          <w:lang w:val="es-ES"/>
        </w:rPr>
        <w:t>.</w:t>
      </w:r>
      <w:r w:rsidRPr="00BF0098">
        <w:rPr>
          <w:rFonts w:ascii="Arial" w:hAnsi="Arial" w:cs="Arial"/>
          <w:b/>
        </w:rPr>
        <w:t>Diagnóstico</w:t>
      </w:r>
      <w:proofErr w:type="gramEnd"/>
    </w:p>
    <w:p w:rsidR="003F55C3" w:rsidRPr="00BF0098" w:rsidRDefault="003F55C3" w:rsidP="00BF0098">
      <w:pPr>
        <w:pStyle w:val="Style"/>
        <w:numPr>
          <w:ilvl w:val="0"/>
          <w:numId w:val="1"/>
        </w:numPr>
        <w:spacing w:after="100" w:afterAutospacing="1" w:line="360" w:lineRule="auto"/>
        <w:ind w:left="720" w:hanging="360"/>
        <w:rPr>
          <w:rFonts w:ascii="Arial" w:hAnsi="Arial" w:cs="Arial"/>
          <w:lang w:val="es-ES"/>
        </w:rPr>
      </w:pPr>
      <w:r w:rsidRPr="00BF0098">
        <w:rPr>
          <w:rFonts w:ascii="Arial" w:hAnsi="Arial" w:cs="Arial"/>
          <w:lang w:val="es-ES"/>
        </w:rPr>
        <w:t xml:space="preserve">Concentración de sodio plasmático por encima de 150 mmol/L. </w:t>
      </w:r>
    </w:p>
    <w:p w:rsidR="003F55C3" w:rsidRPr="00BF0098" w:rsidRDefault="003F55C3" w:rsidP="00BF0098">
      <w:pPr>
        <w:pStyle w:val="Style"/>
        <w:numPr>
          <w:ilvl w:val="0"/>
          <w:numId w:val="1"/>
        </w:numPr>
        <w:spacing w:after="100" w:afterAutospacing="1" w:line="360" w:lineRule="auto"/>
        <w:ind w:left="720" w:hanging="360"/>
        <w:rPr>
          <w:rFonts w:ascii="Arial" w:hAnsi="Arial" w:cs="Arial"/>
          <w:lang w:val="es-ES"/>
        </w:rPr>
      </w:pPr>
      <w:r w:rsidRPr="00BF0098">
        <w:rPr>
          <w:rFonts w:ascii="Arial" w:hAnsi="Arial" w:cs="Arial"/>
          <w:lang w:val="es-ES"/>
        </w:rPr>
        <w:t xml:space="preserve">Concentración de sodio urinario. En los casos de deshidratación grave la concentración de sodio en la orina es relativamente baja. Cuando se corrige la deshidratación, la concentración urinaria aumenta por encima de 30 mmol/L. </w:t>
      </w:r>
    </w:p>
    <w:p w:rsidR="003F55C3" w:rsidRPr="00BF0098" w:rsidRDefault="003F55C3" w:rsidP="00BF0098">
      <w:pPr>
        <w:pStyle w:val="Textoindependiente"/>
        <w:spacing w:after="100" w:afterAutospacing="1" w:line="360" w:lineRule="auto"/>
        <w:jc w:val="both"/>
        <w:rPr>
          <w:rFonts w:ascii="Arial" w:hAnsi="Arial" w:cs="Arial"/>
          <w:lang w:val="es-ES"/>
        </w:rPr>
      </w:pPr>
      <w:proofErr w:type="gramStart"/>
      <w:r w:rsidRPr="00BF0098">
        <w:rPr>
          <w:rFonts w:ascii="Arial" w:hAnsi="Arial" w:cs="Arial"/>
          <w:lang w:val="es-ES"/>
        </w:rPr>
        <w:lastRenderedPageBreak/>
        <w:t>5.Tratamiento</w:t>
      </w:r>
      <w:proofErr w:type="gramEnd"/>
      <w:r w:rsidRPr="00BF0098">
        <w:rPr>
          <w:rFonts w:ascii="Arial" w:hAnsi="Arial" w:cs="Arial"/>
          <w:lang w:val="es-ES"/>
        </w:rPr>
        <w:t xml:space="preserve"> de la hipernatremia</w:t>
      </w:r>
    </w:p>
    <w:p w:rsidR="003F55C3" w:rsidRPr="00BF0098" w:rsidRDefault="003F55C3" w:rsidP="00BF0098">
      <w:pPr>
        <w:pStyle w:val="Textoindependiente"/>
        <w:spacing w:after="100" w:afterAutospacing="1" w:line="360" w:lineRule="auto"/>
        <w:jc w:val="both"/>
        <w:rPr>
          <w:rFonts w:ascii="Arial" w:hAnsi="Arial" w:cs="Arial"/>
          <w:lang w:val="es-ES"/>
        </w:rPr>
      </w:pPr>
      <w:r w:rsidRPr="00BF0098">
        <w:rPr>
          <w:rFonts w:ascii="Arial" w:hAnsi="Arial" w:cs="Arial"/>
          <w:lang w:val="es-ES"/>
        </w:rPr>
        <w:t>Resolver la hipernatremia y los problemas asociados que presenta, donde lo más importante es restablecer la tonicidad  serica Esto esta relacionado con la condición del volumen extracelular</w:t>
      </w:r>
    </w:p>
    <w:p w:rsidR="003F55C3" w:rsidRPr="00BF0098" w:rsidRDefault="003F55C3" w:rsidP="00BF0098">
      <w:pPr>
        <w:pStyle w:val="Textoindependiente"/>
        <w:spacing w:after="100" w:afterAutospacing="1" w:line="360" w:lineRule="auto"/>
        <w:jc w:val="both"/>
        <w:rPr>
          <w:rFonts w:ascii="Arial" w:hAnsi="Arial" w:cs="Arial"/>
          <w:lang w:val="es-ES"/>
        </w:rPr>
      </w:pPr>
      <w:r w:rsidRPr="00BF0098">
        <w:rPr>
          <w:rFonts w:ascii="Arial" w:hAnsi="Arial" w:cs="Arial"/>
          <w:lang w:val="es-ES"/>
        </w:rPr>
        <w:t>En las hipernatremia con bajo contenido de sodio sérico debido a pérdidas hipotónicas la corrección de las alteraciones hemodinámicas con expansores del plasma, cloruro de sodio isotónico  es de vital importancia.Cuando los pacientes están estabilizados hemodinamicamente  la hipernatremia puede ser tratada incrementando la carga de agua libre con con solución salina al 0,45</w:t>
      </w:r>
      <w:proofErr w:type="gramStart"/>
      <w:r w:rsidRPr="00BF0098">
        <w:rPr>
          <w:rFonts w:ascii="Arial" w:hAnsi="Arial" w:cs="Arial"/>
          <w:lang w:val="es-ES"/>
        </w:rPr>
        <w:t>% ,</w:t>
      </w:r>
      <w:proofErr w:type="gramEnd"/>
      <w:r w:rsidRPr="00BF0098">
        <w:rPr>
          <w:rFonts w:ascii="Arial" w:hAnsi="Arial" w:cs="Arial"/>
          <w:lang w:val="es-ES"/>
        </w:rPr>
        <w:t xml:space="preserve"> al 0,2%, o simplemente con ingestión de agua </w:t>
      </w:r>
    </w:p>
    <w:p w:rsidR="003F55C3" w:rsidRPr="00BF0098" w:rsidRDefault="003F55C3" w:rsidP="00BF0098">
      <w:pPr>
        <w:pStyle w:val="Style"/>
        <w:spacing w:after="100" w:afterAutospacing="1" w:line="360" w:lineRule="auto"/>
        <w:rPr>
          <w:rFonts w:ascii="Arial" w:hAnsi="Arial" w:cs="Arial"/>
          <w:lang w:val="es-ES"/>
        </w:rPr>
      </w:pPr>
      <w:r w:rsidRPr="00BF0098">
        <w:rPr>
          <w:rFonts w:ascii="Arial" w:hAnsi="Arial" w:cs="Arial"/>
          <w:lang w:val="es-ES"/>
        </w:rPr>
        <w:t>El tratamiento de la hipernatremia por sobrecarga de sodio .El tratamiento más adecuado si la función renal esta conservada es administrar un diurético de asa para forzar la eliminación urinaria de sodio, reponiendo las pérdidas de agua que se produzcan. Si la función renal esta alterada previamente, casi siempre es preciso re</w:t>
      </w:r>
      <w:r w:rsidRPr="00BF0098">
        <w:rPr>
          <w:rFonts w:ascii="Arial" w:hAnsi="Arial" w:cs="Arial"/>
          <w:lang w:val="es-ES"/>
        </w:rPr>
        <w:softHyphen/>
        <w:t>currir a la diálisis. La administración de agua como única medida puede ser peligrosa, ya que provocara mayor expansión de todo el volumen extracelular y pueden agra</w:t>
      </w:r>
      <w:r w:rsidRPr="00BF0098">
        <w:rPr>
          <w:rFonts w:ascii="Arial" w:hAnsi="Arial" w:cs="Arial"/>
          <w:lang w:val="es-ES"/>
        </w:rPr>
        <w:softHyphen/>
        <w:t xml:space="preserve">varse los síntomas y signos de hipervolemia. </w:t>
      </w:r>
    </w:p>
    <w:p w:rsidR="003F55C3" w:rsidRPr="00BF0098" w:rsidRDefault="003F55C3" w:rsidP="00BF0098">
      <w:pPr>
        <w:pStyle w:val="Style"/>
        <w:spacing w:after="100" w:afterAutospacing="1" w:line="360" w:lineRule="auto"/>
        <w:rPr>
          <w:rFonts w:ascii="Arial" w:hAnsi="Arial" w:cs="Arial"/>
          <w:lang w:val="es-ES"/>
        </w:rPr>
      </w:pPr>
      <w:r w:rsidRPr="00BF0098">
        <w:rPr>
          <w:rFonts w:ascii="Arial" w:hAnsi="Arial" w:cs="Arial"/>
          <w:lang w:val="es-ES"/>
        </w:rPr>
        <w:t>La cantidad necesaria  de agua  para diluir la concentración de sodio puede ser calculada:</w:t>
      </w:r>
    </w:p>
    <w:p w:rsidR="003F55C3" w:rsidRPr="00BF0098" w:rsidRDefault="003F55C3" w:rsidP="00BF0098">
      <w:pPr>
        <w:spacing w:after="0" w:line="360" w:lineRule="auto"/>
        <w:jc w:val="both"/>
        <w:rPr>
          <w:rFonts w:ascii="Arial" w:hAnsi="Arial" w:cs="Arial"/>
          <w:sz w:val="24"/>
          <w:szCs w:val="24"/>
          <w:lang w:val="es-ES"/>
        </w:rPr>
      </w:pPr>
      <w:r w:rsidRPr="00BF0098">
        <w:rPr>
          <w:rFonts w:ascii="Arial" w:hAnsi="Arial" w:cs="Arial"/>
          <w:sz w:val="24"/>
          <w:szCs w:val="24"/>
          <w:lang w:val="es-ES"/>
        </w:rPr>
        <w:t xml:space="preserve"> Déficit de H2O=0,6xpeso en Kg x </w:t>
      </w:r>
      <w:proofErr w:type="gramStart"/>
      <w:r w:rsidRPr="00BF0098">
        <w:rPr>
          <w:rFonts w:ascii="Arial" w:hAnsi="Arial" w:cs="Arial"/>
          <w:sz w:val="24"/>
          <w:szCs w:val="24"/>
          <w:lang w:val="es-ES"/>
        </w:rPr>
        <w:t>(  1</w:t>
      </w:r>
      <w:proofErr w:type="gramEnd"/>
      <w:r w:rsidRPr="00BF0098">
        <w:rPr>
          <w:rFonts w:ascii="Arial" w:hAnsi="Arial" w:cs="Arial"/>
          <w:sz w:val="24"/>
          <w:szCs w:val="24"/>
          <w:lang w:val="es-ES"/>
        </w:rPr>
        <w:t xml:space="preserve">  _ Na plasmático)</w:t>
      </w:r>
    </w:p>
    <w:p w:rsidR="003F55C3" w:rsidRPr="00BF0098" w:rsidRDefault="003F55C3" w:rsidP="00BF0098">
      <w:pPr>
        <w:spacing w:after="0" w:line="360" w:lineRule="auto"/>
        <w:jc w:val="both"/>
        <w:rPr>
          <w:rFonts w:ascii="Arial" w:hAnsi="Arial" w:cs="Arial"/>
          <w:sz w:val="24"/>
          <w:szCs w:val="24"/>
          <w:lang w:val="es-ES"/>
        </w:rPr>
      </w:pPr>
      <w:r w:rsidRPr="00BF0098">
        <w:rPr>
          <w:rFonts w:ascii="Arial" w:hAnsi="Arial" w:cs="Arial"/>
          <w:sz w:val="24"/>
          <w:szCs w:val="24"/>
          <w:lang w:val="es-ES"/>
        </w:rPr>
        <w:t xml:space="preserve">                                                              ____________</w:t>
      </w:r>
    </w:p>
    <w:p w:rsidR="003F55C3" w:rsidRPr="00BF0098" w:rsidRDefault="003F55C3" w:rsidP="00BF0098">
      <w:pPr>
        <w:spacing w:after="0" w:line="360" w:lineRule="auto"/>
        <w:jc w:val="both"/>
        <w:rPr>
          <w:rFonts w:ascii="Arial" w:hAnsi="Arial" w:cs="Arial"/>
          <w:sz w:val="24"/>
          <w:szCs w:val="24"/>
          <w:lang w:val="es-ES"/>
        </w:rPr>
      </w:pPr>
      <w:r w:rsidRPr="00BF0098">
        <w:rPr>
          <w:rFonts w:ascii="Arial" w:hAnsi="Arial" w:cs="Arial"/>
          <w:sz w:val="24"/>
          <w:szCs w:val="24"/>
          <w:lang w:val="es-ES"/>
        </w:rPr>
        <w:t xml:space="preserve">                                                                  140</w:t>
      </w:r>
    </w:p>
    <w:p w:rsidR="003F55C3" w:rsidRPr="00BF0098" w:rsidRDefault="003F55C3" w:rsidP="00BF0098">
      <w:pPr>
        <w:spacing w:after="0" w:line="360" w:lineRule="auto"/>
        <w:jc w:val="both"/>
        <w:rPr>
          <w:rFonts w:ascii="Arial" w:hAnsi="Arial" w:cs="Arial"/>
          <w:sz w:val="24"/>
          <w:szCs w:val="24"/>
          <w:lang w:val="es-ES"/>
        </w:rPr>
      </w:pPr>
      <w:r w:rsidRPr="00BF0098">
        <w:rPr>
          <w:rFonts w:ascii="Arial" w:hAnsi="Arial" w:cs="Arial"/>
          <w:sz w:val="24"/>
          <w:szCs w:val="24"/>
          <w:lang w:val="es-ES"/>
        </w:rPr>
        <w:t xml:space="preserve">Los pacientes que tienen una perdida sostenida de agua y se mantienen euvolémicos requieren una reposición de agua en forma de dextrosa al 5%  según la formula antes </w:t>
      </w:r>
      <w:proofErr w:type="gramStart"/>
      <w:r w:rsidRPr="00BF0098">
        <w:rPr>
          <w:rFonts w:ascii="Arial" w:hAnsi="Arial" w:cs="Arial"/>
          <w:sz w:val="24"/>
          <w:szCs w:val="24"/>
          <w:lang w:val="es-ES"/>
        </w:rPr>
        <w:t>expuesta ,</w:t>
      </w:r>
      <w:proofErr w:type="gramEnd"/>
      <w:r w:rsidRPr="00BF0098">
        <w:rPr>
          <w:rFonts w:ascii="Arial" w:hAnsi="Arial" w:cs="Arial"/>
          <w:sz w:val="24"/>
          <w:szCs w:val="24"/>
          <w:lang w:val="es-ES"/>
        </w:rPr>
        <w:t xml:space="preserve"> aunque esta solo refleja un estimado del deficit de agua para iniciar directamente la terapia </w:t>
      </w:r>
    </w:p>
    <w:p w:rsidR="003F55C3" w:rsidRPr="00BF0098" w:rsidRDefault="003F55C3" w:rsidP="00BF0098">
      <w:pPr>
        <w:spacing w:after="0" w:line="360" w:lineRule="auto"/>
        <w:jc w:val="both"/>
        <w:rPr>
          <w:rFonts w:ascii="Arial" w:hAnsi="Arial" w:cs="Arial"/>
          <w:sz w:val="24"/>
          <w:szCs w:val="24"/>
          <w:lang w:val="es-ES"/>
        </w:rPr>
      </w:pPr>
      <w:r w:rsidRPr="00BF0098">
        <w:rPr>
          <w:rFonts w:ascii="Arial" w:hAnsi="Arial" w:cs="Arial"/>
          <w:sz w:val="24"/>
          <w:szCs w:val="24"/>
          <w:lang w:val="es-ES"/>
        </w:rPr>
        <w:t xml:space="preserve">                     </w:t>
      </w:r>
    </w:p>
    <w:p w:rsidR="003F55C3" w:rsidRPr="00BF0098" w:rsidRDefault="003F55C3" w:rsidP="00BF0098">
      <w:pPr>
        <w:pStyle w:val="Style"/>
        <w:spacing w:after="100" w:afterAutospacing="1" w:line="360" w:lineRule="auto"/>
        <w:rPr>
          <w:rFonts w:ascii="Arial" w:hAnsi="Arial" w:cs="Arial"/>
          <w:lang w:val="es-ES"/>
        </w:rPr>
      </w:pPr>
      <w:r w:rsidRPr="00BF0098">
        <w:rPr>
          <w:rFonts w:ascii="Arial" w:hAnsi="Arial" w:cs="Arial"/>
          <w:lang w:val="es-ES"/>
        </w:rPr>
        <w:t>Es importante no co</w:t>
      </w:r>
      <w:r w:rsidRPr="00BF0098">
        <w:rPr>
          <w:rFonts w:ascii="Arial" w:hAnsi="Arial" w:cs="Arial"/>
          <w:lang w:val="es-ES"/>
        </w:rPr>
        <w:softHyphen/>
        <w:t>rregir rápido la hipernatremia, especialmente si esta se ha mantenido durante más de 5 días, ya que en este caso las neuronas pueden haber desarrollado meca</w:t>
      </w:r>
      <w:r w:rsidRPr="00BF0098">
        <w:rPr>
          <w:rFonts w:ascii="Arial" w:hAnsi="Arial" w:cs="Arial"/>
          <w:lang w:val="es-ES"/>
        </w:rPr>
        <w:softHyphen/>
        <w:t xml:space="preserve">nismos de compensación y existe el peligro de edema </w:t>
      </w:r>
      <w:r w:rsidRPr="00BF0098">
        <w:rPr>
          <w:rFonts w:ascii="Arial" w:hAnsi="Arial" w:cs="Arial"/>
          <w:lang w:val="es-ES"/>
        </w:rPr>
        <w:lastRenderedPageBreak/>
        <w:t xml:space="preserve">cerebral si se reduce de manera brusca la osmolaridad extracelular. </w:t>
      </w:r>
    </w:p>
    <w:p w:rsidR="003F55C3" w:rsidRPr="00BF0098" w:rsidRDefault="003F55C3" w:rsidP="00BF0098">
      <w:pPr>
        <w:pStyle w:val="Style"/>
        <w:spacing w:after="100" w:afterAutospacing="1" w:line="360" w:lineRule="auto"/>
        <w:rPr>
          <w:rFonts w:ascii="Arial" w:hAnsi="Arial" w:cs="Arial"/>
          <w:lang w:val="es-ES"/>
        </w:rPr>
      </w:pPr>
      <w:r w:rsidRPr="00BF0098">
        <w:rPr>
          <w:rFonts w:ascii="Arial" w:hAnsi="Arial" w:cs="Arial"/>
          <w:lang w:val="es-ES"/>
        </w:rPr>
        <w:t xml:space="preserve">Resumiendo: </w:t>
      </w:r>
    </w:p>
    <w:p w:rsidR="003F55C3" w:rsidRPr="00BF0098" w:rsidRDefault="003F55C3" w:rsidP="00BF0098">
      <w:pPr>
        <w:pStyle w:val="Style"/>
        <w:spacing w:after="100" w:afterAutospacing="1" w:line="360" w:lineRule="auto"/>
        <w:rPr>
          <w:rFonts w:ascii="Arial" w:hAnsi="Arial" w:cs="Arial"/>
          <w:lang w:val="es-ES_tradnl"/>
        </w:rPr>
      </w:pPr>
      <w:r w:rsidRPr="00BF0098">
        <w:rPr>
          <w:rFonts w:ascii="Arial" w:hAnsi="Arial" w:cs="Arial"/>
          <w:lang w:val="es-ES_tradnl"/>
        </w:rPr>
        <w:t>1-Consultar el manejo de la deshidratación hipernatrémica.</w:t>
      </w:r>
    </w:p>
    <w:p w:rsidR="003F55C3" w:rsidRPr="00BF0098" w:rsidRDefault="003F55C3" w:rsidP="00BF0098">
      <w:pPr>
        <w:pStyle w:val="Style"/>
        <w:spacing w:after="100" w:afterAutospacing="1" w:line="360" w:lineRule="auto"/>
        <w:rPr>
          <w:rFonts w:ascii="Arial" w:hAnsi="Arial" w:cs="Arial"/>
          <w:lang w:val="es-ES_tradnl"/>
        </w:rPr>
      </w:pPr>
      <w:r w:rsidRPr="00BF0098">
        <w:rPr>
          <w:rFonts w:ascii="Arial" w:hAnsi="Arial" w:cs="Arial"/>
          <w:lang w:val="es-ES_tradnl"/>
        </w:rPr>
        <w:t>2- En la hipervolémia considerar el uso de agente natriurético como la furosemid</w:t>
      </w:r>
    </w:p>
    <w:p w:rsidR="003F55C3" w:rsidRPr="00BF0098" w:rsidRDefault="003F55C3" w:rsidP="00BF0098">
      <w:pPr>
        <w:pStyle w:val="Style"/>
        <w:spacing w:after="100" w:afterAutospacing="1" w:line="360" w:lineRule="auto"/>
        <w:rPr>
          <w:rFonts w:ascii="Arial" w:hAnsi="Arial" w:cs="Arial"/>
          <w:lang w:val="es-ES"/>
        </w:rPr>
      </w:pPr>
      <w:r w:rsidRPr="00BF0098">
        <w:rPr>
          <w:rFonts w:ascii="Arial" w:hAnsi="Arial" w:cs="Arial"/>
          <w:lang w:val="es-ES_tradnl"/>
        </w:rPr>
        <w:t xml:space="preserve">3- En la euvolémica se recomienda  vasopresina, desmopresina. </w:t>
      </w:r>
    </w:p>
    <w:p w:rsidR="003F55C3" w:rsidRPr="00BF0098" w:rsidRDefault="003F55C3" w:rsidP="00BF0098">
      <w:pPr>
        <w:pStyle w:val="NormalWeb"/>
        <w:spacing w:before="0" w:line="360" w:lineRule="auto"/>
        <w:jc w:val="both"/>
        <w:rPr>
          <w:rFonts w:ascii="Arial" w:hAnsi="Arial" w:cs="Arial"/>
          <w:sz w:val="24"/>
          <w:szCs w:val="24"/>
          <w:lang w:val="es-ES_tradnl"/>
        </w:rPr>
      </w:pPr>
      <w:r w:rsidRPr="00BF0098">
        <w:rPr>
          <w:rFonts w:ascii="Arial" w:hAnsi="Arial" w:cs="Arial"/>
          <w:sz w:val="24"/>
          <w:szCs w:val="24"/>
          <w:lang w:val="es-ES_tradnl"/>
        </w:rPr>
        <w:t>4- Otra opción es el esquema e Fimberg modificado.</w:t>
      </w:r>
    </w:p>
    <w:p w:rsidR="003F55C3" w:rsidRPr="00BF0098" w:rsidRDefault="003F55C3" w:rsidP="00BF0098">
      <w:pPr>
        <w:pStyle w:val="NormalWeb"/>
        <w:spacing w:before="0" w:line="360" w:lineRule="auto"/>
        <w:jc w:val="both"/>
        <w:rPr>
          <w:rFonts w:ascii="Arial" w:hAnsi="Arial" w:cs="Arial"/>
          <w:sz w:val="24"/>
          <w:szCs w:val="24"/>
          <w:lang w:val="es-ES_tradnl"/>
        </w:rPr>
      </w:pPr>
      <w:r w:rsidRPr="00BF0098">
        <w:rPr>
          <w:rFonts w:ascii="Arial" w:hAnsi="Arial" w:cs="Arial"/>
          <w:sz w:val="24"/>
          <w:szCs w:val="24"/>
          <w:lang w:val="es-ES_tradnl"/>
        </w:rPr>
        <w:t xml:space="preserve">5 Comenzar cuando el valor de sodio es superior a 170 mmol/l. </w:t>
      </w:r>
    </w:p>
    <w:p w:rsidR="003F55C3" w:rsidRPr="00BF0098" w:rsidRDefault="003F55C3" w:rsidP="00BF0098">
      <w:pPr>
        <w:pStyle w:val="NormalWeb"/>
        <w:spacing w:before="0" w:line="360" w:lineRule="auto"/>
        <w:jc w:val="both"/>
        <w:rPr>
          <w:rFonts w:ascii="Arial" w:hAnsi="Arial" w:cs="Arial"/>
          <w:sz w:val="24"/>
          <w:szCs w:val="24"/>
          <w:lang w:val="es-ES_tradnl"/>
        </w:rPr>
      </w:pPr>
      <w:r w:rsidRPr="00BF0098">
        <w:rPr>
          <w:rFonts w:ascii="Arial" w:hAnsi="Arial" w:cs="Arial"/>
          <w:sz w:val="24"/>
          <w:szCs w:val="24"/>
          <w:lang w:val="es-ES_tradnl"/>
        </w:rPr>
        <w:t>6 Si existen alteraciones circulatorias utilizar solución salina isotónica o expansores del plasma a 10-20 ml/kg.</w:t>
      </w:r>
    </w:p>
    <w:p w:rsidR="003F55C3" w:rsidRPr="00BF0098" w:rsidRDefault="003F55C3" w:rsidP="00BF0098">
      <w:pPr>
        <w:pStyle w:val="NormalWeb"/>
        <w:spacing w:before="0" w:line="360" w:lineRule="auto"/>
        <w:jc w:val="both"/>
        <w:rPr>
          <w:rFonts w:ascii="Arial" w:hAnsi="Arial" w:cs="Arial"/>
          <w:sz w:val="24"/>
          <w:szCs w:val="24"/>
          <w:lang w:val="es-ES_tradnl"/>
        </w:rPr>
      </w:pPr>
      <w:r w:rsidRPr="00BF0098">
        <w:rPr>
          <w:rFonts w:ascii="Arial" w:hAnsi="Arial" w:cs="Arial"/>
          <w:sz w:val="24"/>
          <w:szCs w:val="24"/>
          <w:lang w:val="es-ES_tradnl"/>
        </w:rPr>
        <w:t xml:space="preserve">7- Si existe estabilidad circulatoria y tiene diuresis se utiliza una mezcla de D5% con NaCl 10-25 mmol/l  con 10-25 mmol/l  se agrega KCl  y se le hace el cálculo para el mantenimiento. </w:t>
      </w:r>
    </w:p>
    <w:p w:rsidR="003F55C3" w:rsidRPr="00BF0098" w:rsidRDefault="003F55C3" w:rsidP="00BF0098">
      <w:pPr>
        <w:spacing w:line="360" w:lineRule="auto"/>
        <w:jc w:val="both"/>
        <w:rPr>
          <w:rFonts w:ascii="Arial" w:hAnsi="Arial" w:cs="Arial"/>
          <w:b/>
          <w:sz w:val="24"/>
          <w:szCs w:val="24"/>
        </w:rPr>
      </w:pPr>
      <w:r w:rsidRPr="00BF0098">
        <w:rPr>
          <w:rFonts w:ascii="Arial" w:hAnsi="Arial" w:cs="Arial"/>
          <w:b/>
          <w:sz w:val="24"/>
          <w:szCs w:val="24"/>
        </w:rPr>
        <w:t>Potasio</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 xml:space="preserve">El potasio (K) es el catión intracelular más importante del organismo, las necesidades diarias varían con la edad, de </w:t>
      </w:r>
      <w:smartTag w:uri="urn:schemas-microsoft-com:office:smarttags" w:element="metricconverter">
        <w:smartTagPr>
          <w:attr w:name="ProductID" w:val="1 a"/>
        </w:smartTagPr>
        <w:r w:rsidRPr="00BF0098">
          <w:rPr>
            <w:rFonts w:ascii="Arial" w:hAnsi="Arial" w:cs="Arial"/>
            <w:sz w:val="24"/>
            <w:szCs w:val="24"/>
          </w:rPr>
          <w:t>1 a</w:t>
        </w:r>
      </w:smartTag>
      <w:r w:rsidRPr="00BF0098">
        <w:rPr>
          <w:rFonts w:ascii="Arial" w:hAnsi="Arial" w:cs="Arial"/>
          <w:sz w:val="24"/>
          <w:szCs w:val="24"/>
        </w:rPr>
        <w:t xml:space="preserve"> 5 mEq/kg, como promedio, son de </w:t>
      </w:r>
      <w:smartTag w:uri="urn:schemas-microsoft-com:office:smarttags" w:element="metricconverter">
        <w:smartTagPr>
          <w:attr w:name="ProductID" w:val="2,5 a"/>
        </w:smartTagPr>
        <w:r w:rsidRPr="00BF0098">
          <w:rPr>
            <w:rFonts w:ascii="Arial" w:hAnsi="Arial" w:cs="Arial"/>
            <w:sz w:val="24"/>
            <w:szCs w:val="24"/>
          </w:rPr>
          <w:t>2,5 a</w:t>
        </w:r>
      </w:smartTag>
      <w:r w:rsidRPr="00BF0098">
        <w:rPr>
          <w:rFonts w:ascii="Arial" w:hAnsi="Arial" w:cs="Arial"/>
          <w:sz w:val="24"/>
          <w:szCs w:val="24"/>
        </w:rPr>
        <w:t xml:space="preserve"> 3 mEq/kg/día.</w:t>
      </w:r>
    </w:p>
    <w:p w:rsidR="003F55C3" w:rsidRPr="00BF0098" w:rsidRDefault="003F55C3" w:rsidP="00BF0098">
      <w:pPr>
        <w:pStyle w:val="NormalWeb"/>
        <w:tabs>
          <w:tab w:val="left" w:pos="2520"/>
        </w:tabs>
        <w:spacing w:before="0" w:after="0" w:afterAutospacing="0" w:line="360" w:lineRule="auto"/>
        <w:jc w:val="both"/>
        <w:rPr>
          <w:rFonts w:ascii="Arial" w:hAnsi="Arial" w:cs="Arial"/>
          <w:sz w:val="24"/>
          <w:szCs w:val="24"/>
          <w:lang w:val="es-ES"/>
        </w:rPr>
      </w:pPr>
      <w:r w:rsidRPr="00BF0098">
        <w:rPr>
          <w:rFonts w:ascii="Arial" w:hAnsi="Arial" w:cs="Arial"/>
          <w:sz w:val="24"/>
          <w:szCs w:val="24"/>
          <w:lang w:val="es-ES"/>
        </w:rPr>
        <w:t xml:space="preserve"> Hipocaliemia</w:t>
      </w:r>
      <w:r w:rsidRPr="00BF0098">
        <w:rPr>
          <w:rFonts w:ascii="Arial" w:hAnsi="Arial" w:cs="Arial"/>
          <w:sz w:val="24"/>
          <w:szCs w:val="24"/>
          <w:lang w:val="es-ES"/>
        </w:rPr>
        <w:tab/>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Concepto</w:t>
      </w:r>
      <w:proofErr w:type="gramStart"/>
      <w:r w:rsidRPr="00BF0098">
        <w:rPr>
          <w:rFonts w:ascii="Arial" w:hAnsi="Arial" w:cs="Arial"/>
          <w:sz w:val="24"/>
          <w:szCs w:val="24"/>
        </w:rPr>
        <w:t>:  Es</w:t>
      </w:r>
      <w:proofErr w:type="gramEnd"/>
      <w:r w:rsidRPr="00BF0098">
        <w:rPr>
          <w:rFonts w:ascii="Arial" w:hAnsi="Arial" w:cs="Arial"/>
          <w:sz w:val="24"/>
          <w:szCs w:val="24"/>
        </w:rPr>
        <w:t xml:space="preserve"> definida como la existencia de una concentración plasmática de K &lt; 3,5 Mmol/L, la cual puede concomitar con un K corporal total disminuído, normal o alto. La gravedad pudiera clasificarse según el siguiente esquema:</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 xml:space="preserve">        Ligera        K   entre  2,6  y  3,5 Mmol/L</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 xml:space="preserve">        Grave         K   entre  1,6  y  2,5 Mmol/L</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 xml:space="preserve">       Muy Grave  K   por debajo de 1,6 Mmol/L</w:t>
      </w:r>
    </w:p>
    <w:p w:rsidR="003F55C3" w:rsidRPr="00BF0098" w:rsidRDefault="003F55C3" w:rsidP="00BF0098">
      <w:pPr>
        <w:pStyle w:val="NormalWeb"/>
        <w:spacing w:before="0" w:after="0" w:afterAutospacing="0" w:line="360" w:lineRule="auto"/>
        <w:jc w:val="both"/>
        <w:rPr>
          <w:rFonts w:ascii="Arial" w:hAnsi="Arial" w:cs="Arial"/>
          <w:sz w:val="24"/>
          <w:szCs w:val="24"/>
          <w:lang w:val="es-ES"/>
        </w:rPr>
      </w:pPr>
    </w:p>
    <w:p w:rsidR="003F55C3" w:rsidRPr="00BF0098" w:rsidRDefault="003F55C3" w:rsidP="00BF0098">
      <w:pPr>
        <w:pStyle w:val="NormalWeb"/>
        <w:spacing w:before="0" w:after="0" w:afterAutospacing="0" w:line="360" w:lineRule="auto"/>
        <w:jc w:val="both"/>
        <w:rPr>
          <w:rFonts w:ascii="Arial" w:hAnsi="Arial" w:cs="Arial"/>
          <w:sz w:val="24"/>
          <w:szCs w:val="24"/>
        </w:rPr>
      </w:pPr>
      <w:r w:rsidRPr="00BF0098">
        <w:rPr>
          <w:rFonts w:ascii="Arial" w:hAnsi="Arial" w:cs="Arial"/>
          <w:sz w:val="24"/>
          <w:szCs w:val="24"/>
        </w:rPr>
        <w:lastRenderedPageBreak/>
        <w:t>Etiología</w:t>
      </w:r>
    </w:p>
    <w:p w:rsidR="003F55C3" w:rsidRPr="00BF0098" w:rsidRDefault="003F55C3" w:rsidP="00BF0098">
      <w:pPr>
        <w:pStyle w:val="NormalWeb"/>
        <w:numPr>
          <w:ilvl w:val="0"/>
          <w:numId w:val="21"/>
        </w:numPr>
        <w:spacing w:before="0" w:after="0" w:afterAutospacing="0" w:line="360" w:lineRule="auto"/>
        <w:ind w:left="0" w:firstLine="0"/>
        <w:jc w:val="both"/>
        <w:rPr>
          <w:rFonts w:ascii="Arial" w:hAnsi="Arial" w:cs="Arial"/>
          <w:sz w:val="24"/>
          <w:szCs w:val="24"/>
          <w:lang w:val="es-ES"/>
        </w:rPr>
      </w:pPr>
      <w:r w:rsidRPr="00BF0098">
        <w:rPr>
          <w:rFonts w:ascii="Arial" w:hAnsi="Arial" w:cs="Arial"/>
          <w:sz w:val="24"/>
          <w:szCs w:val="24"/>
          <w:lang w:val="es-ES"/>
        </w:rPr>
        <w:t>Ingreso insuficiente: cuando es menor de 30 mEq/m /día. Principales causas son la desnutrición proteica-calórica y la alimentación parenteral prolongada sin adición de potasio.</w:t>
      </w:r>
    </w:p>
    <w:p w:rsidR="003F55C3" w:rsidRPr="00BF0098" w:rsidRDefault="003F55C3" w:rsidP="00BF0098">
      <w:pPr>
        <w:pStyle w:val="NormalWeb"/>
        <w:numPr>
          <w:ilvl w:val="0"/>
          <w:numId w:val="21"/>
        </w:numPr>
        <w:spacing w:before="0" w:after="0" w:afterAutospacing="0" w:line="360" w:lineRule="auto"/>
        <w:ind w:left="0" w:firstLine="0"/>
        <w:jc w:val="both"/>
        <w:rPr>
          <w:rFonts w:ascii="Arial" w:hAnsi="Arial" w:cs="Arial"/>
          <w:sz w:val="24"/>
          <w:szCs w:val="24"/>
          <w:lang w:val="es-ES"/>
        </w:rPr>
      </w:pPr>
      <w:r w:rsidRPr="00BF0098">
        <w:rPr>
          <w:rFonts w:ascii="Arial" w:hAnsi="Arial" w:cs="Arial"/>
          <w:sz w:val="24"/>
          <w:szCs w:val="24"/>
          <w:lang w:val="es-ES"/>
        </w:rPr>
        <w:t>Pérdidas extrarrenales de potasio: aquí se incluyen la diarrea aguda, los vómitos persistentes, la succión gástrica o el drenaje intestinal prolongado y el uso repetido de resinas de intercambio iónico, utilizadas en niños con hipercaliemia, para reducir niveles de K.</w:t>
      </w:r>
    </w:p>
    <w:p w:rsidR="003F55C3" w:rsidRPr="00BF0098" w:rsidRDefault="003F55C3" w:rsidP="00BF0098">
      <w:pPr>
        <w:pStyle w:val="NormalWeb"/>
        <w:numPr>
          <w:ilvl w:val="0"/>
          <w:numId w:val="21"/>
        </w:numPr>
        <w:spacing w:before="0" w:after="0" w:afterAutospacing="0" w:line="360" w:lineRule="auto"/>
        <w:ind w:left="0" w:firstLine="0"/>
        <w:jc w:val="both"/>
        <w:rPr>
          <w:rFonts w:ascii="Arial" w:hAnsi="Arial" w:cs="Arial"/>
          <w:sz w:val="24"/>
          <w:szCs w:val="24"/>
          <w:lang w:val="es-ES"/>
        </w:rPr>
      </w:pPr>
      <w:r w:rsidRPr="00BF0098">
        <w:rPr>
          <w:rFonts w:ascii="Arial" w:hAnsi="Arial" w:cs="Arial"/>
          <w:sz w:val="24"/>
          <w:szCs w:val="24"/>
          <w:lang w:val="es-ES"/>
        </w:rPr>
        <w:t>Pérdidas renales de potasio: cuando su excreción es superior a 20mmol/L en 24 horas.</w:t>
      </w:r>
    </w:p>
    <w:p w:rsidR="003F55C3" w:rsidRPr="00BF0098" w:rsidRDefault="003F55C3" w:rsidP="00BF0098">
      <w:pPr>
        <w:pStyle w:val="NormalWeb"/>
        <w:numPr>
          <w:ilvl w:val="0"/>
          <w:numId w:val="22"/>
        </w:numPr>
        <w:spacing w:before="0" w:after="0" w:afterAutospacing="0" w:line="360" w:lineRule="auto"/>
        <w:ind w:left="0" w:firstLine="0"/>
        <w:jc w:val="both"/>
        <w:rPr>
          <w:rFonts w:ascii="Arial" w:hAnsi="Arial" w:cs="Arial"/>
          <w:sz w:val="24"/>
          <w:szCs w:val="24"/>
          <w:lang w:val="es-ES"/>
        </w:rPr>
      </w:pPr>
      <w:r w:rsidRPr="00BF0098">
        <w:rPr>
          <w:rFonts w:ascii="Arial" w:hAnsi="Arial" w:cs="Arial"/>
          <w:sz w:val="24"/>
          <w:szCs w:val="24"/>
          <w:lang w:val="es-ES"/>
        </w:rPr>
        <w:t>con tensión arterial normal: acidosis tubular renal proximal</w:t>
      </w:r>
    </w:p>
    <w:p w:rsidR="003F55C3" w:rsidRPr="00BF0098" w:rsidRDefault="003F55C3" w:rsidP="00BF0098">
      <w:pPr>
        <w:pStyle w:val="NormalWeb"/>
        <w:spacing w:before="0" w:after="0" w:afterAutospacing="0" w:line="360" w:lineRule="auto"/>
        <w:jc w:val="both"/>
        <w:rPr>
          <w:rFonts w:ascii="Arial" w:hAnsi="Arial" w:cs="Arial"/>
          <w:sz w:val="24"/>
          <w:szCs w:val="24"/>
          <w:lang w:val="es-ES"/>
        </w:rPr>
      </w:pPr>
      <w:r w:rsidRPr="00BF0098">
        <w:rPr>
          <w:rFonts w:ascii="Arial" w:hAnsi="Arial" w:cs="Arial"/>
          <w:sz w:val="24"/>
          <w:szCs w:val="24"/>
          <w:lang w:val="es-ES"/>
        </w:rPr>
        <w:t xml:space="preserve">                     </w:t>
      </w:r>
      <w:r w:rsidR="0067288E">
        <w:rPr>
          <w:rFonts w:ascii="Arial" w:hAnsi="Arial" w:cs="Arial"/>
          <w:sz w:val="24"/>
          <w:szCs w:val="24"/>
          <w:lang w:val="es-ES"/>
        </w:rPr>
        <w:t xml:space="preserve">                                   S</w:t>
      </w:r>
      <w:r w:rsidRPr="00BF0098">
        <w:rPr>
          <w:rFonts w:ascii="Arial" w:hAnsi="Arial" w:cs="Arial"/>
          <w:sz w:val="24"/>
          <w:szCs w:val="24"/>
          <w:lang w:val="es-ES"/>
        </w:rPr>
        <w:t>índrome de Fanconi</w:t>
      </w:r>
    </w:p>
    <w:p w:rsidR="003F55C3" w:rsidRPr="00BF0098" w:rsidRDefault="003F55C3" w:rsidP="00BF0098">
      <w:pPr>
        <w:pStyle w:val="NormalWeb"/>
        <w:spacing w:before="0" w:after="0" w:afterAutospacing="0" w:line="360" w:lineRule="auto"/>
        <w:jc w:val="both"/>
        <w:rPr>
          <w:rFonts w:ascii="Arial" w:hAnsi="Arial" w:cs="Arial"/>
          <w:sz w:val="24"/>
          <w:szCs w:val="24"/>
          <w:lang w:val="es-ES"/>
        </w:rPr>
      </w:pPr>
      <w:r w:rsidRPr="00BF0098">
        <w:rPr>
          <w:rFonts w:ascii="Arial" w:hAnsi="Arial" w:cs="Arial"/>
          <w:sz w:val="24"/>
          <w:szCs w:val="24"/>
          <w:lang w:val="es-ES"/>
        </w:rPr>
        <w:t xml:space="preserve">                                                     </w:t>
      </w:r>
      <w:r w:rsidR="0067288E">
        <w:rPr>
          <w:rFonts w:ascii="Arial" w:hAnsi="Arial" w:cs="Arial"/>
          <w:sz w:val="24"/>
          <w:szCs w:val="24"/>
          <w:lang w:val="es-ES"/>
        </w:rPr>
        <w:t xml:space="preserve">   S</w:t>
      </w:r>
      <w:r w:rsidRPr="00BF0098">
        <w:rPr>
          <w:rFonts w:ascii="Arial" w:hAnsi="Arial" w:cs="Arial"/>
          <w:sz w:val="24"/>
          <w:szCs w:val="24"/>
          <w:lang w:val="es-ES"/>
        </w:rPr>
        <w:t>índrome de Bartter</w:t>
      </w:r>
    </w:p>
    <w:p w:rsidR="003F55C3" w:rsidRPr="00BF0098" w:rsidRDefault="003F55C3" w:rsidP="0067288E">
      <w:pPr>
        <w:pStyle w:val="NormalWeb"/>
        <w:spacing w:before="0" w:after="0" w:afterAutospacing="0" w:line="360" w:lineRule="auto"/>
        <w:jc w:val="both"/>
        <w:rPr>
          <w:rFonts w:ascii="Arial" w:hAnsi="Arial" w:cs="Arial"/>
          <w:sz w:val="24"/>
          <w:szCs w:val="24"/>
          <w:lang w:val="es-ES"/>
        </w:rPr>
      </w:pPr>
      <w:r w:rsidRPr="00BF0098">
        <w:rPr>
          <w:rFonts w:ascii="Arial" w:hAnsi="Arial" w:cs="Arial"/>
          <w:sz w:val="24"/>
          <w:szCs w:val="24"/>
          <w:lang w:val="es-ES"/>
        </w:rPr>
        <w:t xml:space="preserve">                                                     </w:t>
      </w:r>
      <w:r w:rsidR="0067288E">
        <w:rPr>
          <w:rFonts w:ascii="Arial" w:hAnsi="Arial" w:cs="Arial"/>
          <w:sz w:val="24"/>
          <w:szCs w:val="24"/>
          <w:lang w:val="es-ES"/>
        </w:rPr>
        <w:t xml:space="preserve">         Síndrome </w:t>
      </w:r>
      <w:proofErr w:type="gramStart"/>
      <w:r w:rsidRPr="00BF0098">
        <w:rPr>
          <w:rFonts w:ascii="Arial" w:hAnsi="Arial" w:cs="Arial"/>
          <w:sz w:val="24"/>
          <w:szCs w:val="24"/>
          <w:lang w:val="es-ES"/>
        </w:rPr>
        <w:t>familiar(</w:t>
      </w:r>
      <w:proofErr w:type="gramEnd"/>
      <w:r w:rsidRPr="00BF0098">
        <w:rPr>
          <w:rFonts w:ascii="Arial" w:hAnsi="Arial" w:cs="Arial"/>
          <w:sz w:val="24"/>
          <w:szCs w:val="24"/>
          <w:lang w:val="es-ES"/>
        </w:rPr>
        <w:t>hipomagnesemia e hipocaliemia)</w:t>
      </w:r>
    </w:p>
    <w:p w:rsidR="003F55C3" w:rsidRPr="00BF0098" w:rsidRDefault="003F55C3" w:rsidP="0067288E">
      <w:pPr>
        <w:pStyle w:val="NormalWeb"/>
        <w:spacing w:before="0" w:after="0" w:afterAutospacing="0" w:line="360" w:lineRule="auto"/>
        <w:jc w:val="both"/>
        <w:rPr>
          <w:rFonts w:ascii="Arial" w:hAnsi="Arial" w:cs="Arial"/>
          <w:sz w:val="24"/>
          <w:szCs w:val="24"/>
          <w:lang w:val="es-ES"/>
        </w:rPr>
      </w:pPr>
      <w:r w:rsidRPr="00BF0098">
        <w:rPr>
          <w:rFonts w:ascii="Arial" w:hAnsi="Arial" w:cs="Arial"/>
          <w:sz w:val="24"/>
          <w:szCs w:val="24"/>
          <w:lang w:val="es-ES"/>
        </w:rPr>
        <w:t xml:space="preserve">    -  con tensión arterial elevada: síndrome de Cushing</w:t>
      </w:r>
    </w:p>
    <w:p w:rsidR="003F55C3" w:rsidRPr="00BF0098" w:rsidRDefault="003F55C3" w:rsidP="00BF0098">
      <w:pPr>
        <w:pStyle w:val="NormalWeb"/>
        <w:spacing w:before="0" w:after="0" w:afterAutospacing="0" w:line="360" w:lineRule="auto"/>
        <w:jc w:val="both"/>
        <w:rPr>
          <w:rFonts w:ascii="Arial" w:hAnsi="Arial" w:cs="Arial"/>
          <w:sz w:val="24"/>
          <w:szCs w:val="24"/>
          <w:lang w:val="es-ES"/>
        </w:rPr>
      </w:pPr>
      <w:r w:rsidRPr="00BF0098">
        <w:rPr>
          <w:rFonts w:ascii="Arial" w:hAnsi="Arial" w:cs="Arial"/>
          <w:sz w:val="24"/>
          <w:szCs w:val="24"/>
          <w:lang w:val="es-ES"/>
        </w:rPr>
        <w:t xml:space="preserve">                                                     </w:t>
      </w:r>
      <w:proofErr w:type="gramStart"/>
      <w:r w:rsidRPr="00BF0098">
        <w:rPr>
          <w:rFonts w:ascii="Arial" w:hAnsi="Arial" w:cs="Arial"/>
          <w:sz w:val="24"/>
          <w:szCs w:val="24"/>
          <w:lang w:val="es-ES"/>
        </w:rPr>
        <w:t>estenosis</w:t>
      </w:r>
      <w:proofErr w:type="gramEnd"/>
      <w:r w:rsidRPr="00BF0098">
        <w:rPr>
          <w:rFonts w:ascii="Arial" w:hAnsi="Arial" w:cs="Arial"/>
          <w:sz w:val="24"/>
          <w:szCs w:val="24"/>
          <w:lang w:val="es-ES"/>
        </w:rPr>
        <w:t xml:space="preserve"> de arteria renal</w:t>
      </w:r>
    </w:p>
    <w:p w:rsidR="003F55C3" w:rsidRPr="00BF0098" w:rsidRDefault="003F55C3" w:rsidP="00BF0098">
      <w:pPr>
        <w:pStyle w:val="NormalWeb"/>
        <w:spacing w:before="0" w:after="0" w:afterAutospacing="0" w:line="360" w:lineRule="auto"/>
        <w:jc w:val="both"/>
        <w:rPr>
          <w:rFonts w:ascii="Arial" w:hAnsi="Arial" w:cs="Arial"/>
          <w:sz w:val="24"/>
          <w:szCs w:val="24"/>
          <w:lang w:val="es-ES"/>
        </w:rPr>
      </w:pPr>
      <w:r w:rsidRPr="00BF0098">
        <w:rPr>
          <w:rFonts w:ascii="Arial" w:hAnsi="Arial" w:cs="Arial"/>
          <w:sz w:val="24"/>
          <w:szCs w:val="24"/>
          <w:lang w:val="es-ES"/>
        </w:rPr>
        <w:t xml:space="preserve">                                                     </w:t>
      </w:r>
      <w:proofErr w:type="gramStart"/>
      <w:r w:rsidRPr="00BF0098">
        <w:rPr>
          <w:rFonts w:ascii="Arial" w:hAnsi="Arial" w:cs="Arial"/>
          <w:sz w:val="24"/>
          <w:szCs w:val="24"/>
          <w:lang w:val="es-ES"/>
        </w:rPr>
        <w:t>síndrome</w:t>
      </w:r>
      <w:proofErr w:type="gramEnd"/>
      <w:r w:rsidRPr="00BF0098">
        <w:rPr>
          <w:rFonts w:ascii="Arial" w:hAnsi="Arial" w:cs="Arial"/>
          <w:sz w:val="24"/>
          <w:szCs w:val="24"/>
          <w:lang w:val="es-ES"/>
        </w:rPr>
        <w:t xml:space="preserve"> de Liddle</w:t>
      </w:r>
    </w:p>
    <w:p w:rsidR="003F55C3" w:rsidRPr="00BF0098" w:rsidRDefault="003F55C3" w:rsidP="00BF0098">
      <w:pPr>
        <w:pStyle w:val="NormalWeb"/>
        <w:spacing w:before="0" w:after="0" w:afterAutospacing="0" w:line="360" w:lineRule="auto"/>
        <w:jc w:val="both"/>
        <w:rPr>
          <w:rFonts w:ascii="Arial" w:hAnsi="Arial" w:cs="Arial"/>
          <w:sz w:val="24"/>
          <w:szCs w:val="24"/>
          <w:lang w:val="es-ES"/>
        </w:rPr>
      </w:pPr>
      <w:proofErr w:type="gramStart"/>
      <w:r w:rsidRPr="00BF0098">
        <w:rPr>
          <w:rFonts w:ascii="Arial" w:hAnsi="Arial" w:cs="Arial"/>
          <w:sz w:val="24"/>
          <w:szCs w:val="24"/>
          <w:lang w:val="es-ES"/>
        </w:rPr>
        <w:t>4 .</w:t>
      </w:r>
      <w:proofErr w:type="gramEnd"/>
      <w:r w:rsidRPr="00BF0098">
        <w:rPr>
          <w:rFonts w:ascii="Arial" w:hAnsi="Arial" w:cs="Arial"/>
          <w:sz w:val="24"/>
          <w:szCs w:val="24"/>
          <w:lang w:val="es-ES"/>
        </w:rPr>
        <w:t xml:space="preserve"> Aumento de la captación intracelular de potasio</w:t>
      </w:r>
    </w:p>
    <w:p w:rsidR="003F55C3" w:rsidRPr="00BF0098" w:rsidRDefault="003F55C3" w:rsidP="00BF0098">
      <w:pPr>
        <w:pStyle w:val="NormalWeb"/>
        <w:spacing w:before="0" w:after="0" w:afterAutospacing="0" w:line="360" w:lineRule="auto"/>
        <w:jc w:val="both"/>
        <w:rPr>
          <w:rFonts w:ascii="Arial" w:hAnsi="Arial" w:cs="Arial"/>
          <w:sz w:val="24"/>
          <w:szCs w:val="24"/>
          <w:lang w:val="es-ES"/>
        </w:rPr>
      </w:pPr>
      <w:r w:rsidRPr="00BF0098">
        <w:rPr>
          <w:rFonts w:ascii="Arial" w:hAnsi="Arial" w:cs="Arial"/>
          <w:sz w:val="24"/>
          <w:szCs w:val="24"/>
          <w:lang w:val="es-ES"/>
        </w:rPr>
        <w:t xml:space="preserve">     - en la acidosis y alcalosis respiratoria</w:t>
      </w:r>
    </w:p>
    <w:p w:rsidR="003F55C3" w:rsidRPr="00BF0098" w:rsidRDefault="003F55C3" w:rsidP="00BF0098">
      <w:pPr>
        <w:pStyle w:val="NormalWeb"/>
        <w:spacing w:before="0" w:after="0" w:afterAutospacing="0" w:line="360" w:lineRule="auto"/>
        <w:jc w:val="both"/>
        <w:rPr>
          <w:rFonts w:ascii="Arial" w:hAnsi="Arial" w:cs="Arial"/>
          <w:sz w:val="24"/>
          <w:szCs w:val="24"/>
          <w:lang w:val="es-ES"/>
        </w:rPr>
      </w:pPr>
      <w:r w:rsidRPr="00BF0098">
        <w:rPr>
          <w:rFonts w:ascii="Arial" w:hAnsi="Arial" w:cs="Arial"/>
          <w:sz w:val="24"/>
          <w:szCs w:val="24"/>
          <w:lang w:val="es-ES"/>
        </w:rPr>
        <w:t xml:space="preserve">     - la inyección de bicarbonato</w:t>
      </w:r>
    </w:p>
    <w:p w:rsidR="003F55C3" w:rsidRPr="00BF0098" w:rsidRDefault="003F55C3" w:rsidP="00BF0098">
      <w:pPr>
        <w:pStyle w:val="NormalWeb"/>
        <w:spacing w:before="0" w:after="0" w:afterAutospacing="0" w:line="360" w:lineRule="auto"/>
        <w:jc w:val="both"/>
        <w:rPr>
          <w:rFonts w:ascii="Arial" w:hAnsi="Arial" w:cs="Arial"/>
          <w:sz w:val="24"/>
          <w:szCs w:val="24"/>
          <w:lang w:val="es-ES"/>
        </w:rPr>
      </w:pPr>
      <w:r w:rsidRPr="00BF0098">
        <w:rPr>
          <w:rFonts w:ascii="Arial" w:hAnsi="Arial" w:cs="Arial"/>
          <w:sz w:val="24"/>
          <w:szCs w:val="24"/>
          <w:lang w:val="es-ES"/>
        </w:rPr>
        <w:t xml:space="preserve">     - la administración de insulina en niños con cetoacidosis diabética</w:t>
      </w:r>
    </w:p>
    <w:p w:rsidR="003F55C3" w:rsidRPr="00BF0098" w:rsidRDefault="003F55C3" w:rsidP="00BF0098">
      <w:pPr>
        <w:pStyle w:val="NormalWeb"/>
        <w:spacing w:before="0" w:after="0" w:afterAutospacing="0" w:line="360" w:lineRule="auto"/>
        <w:jc w:val="both"/>
        <w:rPr>
          <w:rFonts w:ascii="Arial" w:hAnsi="Arial" w:cs="Arial"/>
          <w:sz w:val="24"/>
          <w:szCs w:val="24"/>
          <w:lang w:val="es-ES"/>
        </w:rPr>
      </w:pPr>
      <w:r w:rsidRPr="00BF0098">
        <w:rPr>
          <w:rFonts w:ascii="Arial" w:hAnsi="Arial" w:cs="Arial"/>
          <w:sz w:val="24"/>
          <w:szCs w:val="24"/>
          <w:lang w:val="es-ES"/>
        </w:rPr>
        <w:t xml:space="preserve">     - en pacientes con alimentación parenteral prolongada con aporte insuficiente de potasio y con soluciones con alto contenido de glucosa.</w:t>
      </w:r>
    </w:p>
    <w:p w:rsidR="003F55C3" w:rsidRPr="00BF0098" w:rsidRDefault="003F55C3" w:rsidP="00BF0098">
      <w:pPr>
        <w:pStyle w:val="NormalWeb"/>
        <w:spacing w:before="0" w:after="0" w:afterAutospacing="0" w:line="360" w:lineRule="auto"/>
        <w:jc w:val="both"/>
        <w:rPr>
          <w:rFonts w:ascii="Arial" w:hAnsi="Arial" w:cs="Arial"/>
          <w:sz w:val="24"/>
          <w:szCs w:val="24"/>
          <w:lang w:val="es-ES"/>
        </w:rPr>
      </w:pPr>
      <w:r w:rsidRPr="00BF0098">
        <w:rPr>
          <w:rFonts w:ascii="Arial" w:hAnsi="Arial" w:cs="Arial"/>
          <w:sz w:val="24"/>
          <w:szCs w:val="24"/>
          <w:lang w:val="es-ES"/>
        </w:rPr>
        <w:t xml:space="preserve">   - la parálisis periódica hipocalémica</w:t>
      </w:r>
    </w:p>
    <w:p w:rsidR="003F55C3" w:rsidRPr="00BF0098" w:rsidRDefault="003F55C3" w:rsidP="00BF0098">
      <w:pPr>
        <w:pStyle w:val="NormalWeb"/>
        <w:spacing w:before="0" w:after="0" w:afterAutospacing="0" w:line="360" w:lineRule="auto"/>
        <w:jc w:val="both"/>
        <w:rPr>
          <w:rFonts w:ascii="Arial" w:hAnsi="Arial" w:cs="Arial"/>
          <w:sz w:val="24"/>
          <w:szCs w:val="24"/>
          <w:lang w:val="es-ES"/>
        </w:rPr>
      </w:pPr>
      <w:r w:rsidRPr="00BF0098">
        <w:rPr>
          <w:rFonts w:ascii="Arial" w:hAnsi="Arial" w:cs="Arial"/>
          <w:sz w:val="24"/>
          <w:szCs w:val="24"/>
          <w:lang w:val="es-ES"/>
        </w:rPr>
        <w:t xml:space="preserve">   - uso de agonistas </w:t>
      </w:r>
      <w:r w:rsidRPr="00BF0098">
        <w:rPr>
          <w:rFonts w:ascii="Arial" w:hAnsi="Arial" w:cs="Arial"/>
          <w:sz w:val="24"/>
          <w:szCs w:val="24"/>
        </w:rPr>
        <w:t>β</w:t>
      </w:r>
      <w:r w:rsidRPr="00BF0098">
        <w:rPr>
          <w:rFonts w:ascii="Arial" w:hAnsi="Arial" w:cs="Arial"/>
          <w:sz w:val="24"/>
          <w:szCs w:val="24"/>
          <w:lang w:val="es-ES"/>
        </w:rPr>
        <w:t xml:space="preserve">-2 </w:t>
      </w:r>
      <w:proofErr w:type="gramStart"/>
      <w:r w:rsidRPr="00BF0098">
        <w:rPr>
          <w:rFonts w:ascii="Arial" w:hAnsi="Arial" w:cs="Arial"/>
          <w:sz w:val="24"/>
          <w:szCs w:val="24"/>
          <w:lang w:val="es-ES"/>
        </w:rPr>
        <w:t>( adrenalina</w:t>
      </w:r>
      <w:proofErr w:type="gramEnd"/>
      <w:r w:rsidRPr="00BF0098">
        <w:rPr>
          <w:rFonts w:ascii="Arial" w:hAnsi="Arial" w:cs="Arial"/>
          <w:sz w:val="24"/>
          <w:szCs w:val="24"/>
          <w:lang w:val="es-ES"/>
        </w:rPr>
        <w:t>, isoproterenol, terbutalina y salbutamol)</w:t>
      </w:r>
    </w:p>
    <w:p w:rsidR="003F55C3" w:rsidRPr="00BF0098" w:rsidRDefault="003F55C3" w:rsidP="00BF0098">
      <w:pPr>
        <w:pStyle w:val="NormalWeb"/>
        <w:spacing w:before="0" w:after="0" w:afterAutospacing="0" w:line="360" w:lineRule="auto"/>
        <w:jc w:val="both"/>
        <w:rPr>
          <w:rFonts w:ascii="Arial" w:hAnsi="Arial" w:cs="Arial"/>
          <w:sz w:val="24"/>
          <w:szCs w:val="24"/>
          <w:lang w:val="es-ES"/>
        </w:rPr>
      </w:pPr>
      <w:r w:rsidRPr="00BF0098">
        <w:rPr>
          <w:rFonts w:ascii="Arial" w:hAnsi="Arial" w:cs="Arial"/>
          <w:sz w:val="24"/>
          <w:szCs w:val="24"/>
          <w:lang w:val="es-ES"/>
        </w:rPr>
        <w:t xml:space="preserve">   - en pacientes con leucemia mielógena aguda y anemia megaloblástica con tratamiento, por captación exagerada de K por las células inmaduras en rápido crecimiento.</w:t>
      </w:r>
    </w:p>
    <w:p w:rsidR="003F55C3" w:rsidRPr="00BF0098" w:rsidRDefault="003F55C3" w:rsidP="00BF0098">
      <w:pPr>
        <w:pStyle w:val="NormalWeb"/>
        <w:spacing w:before="0" w:after="0" w:afterAutospacing="0" w:line="360" w:lineRule="auto"/>
        <w:jc w:val="both"/>
        <w:rPr>
          <w:rFonts w:ascii="Arial" w:hAnsi="Arial" w:cs="Arial"/>
          <w:sz w:val="24"/>
          <w:szCs w:val="24"/>
          <w:lang w:val="es-ES"/>
        </w:rPr>
      </w:pPr>
      <w:r w:rsidRPr="00BF0098">
        <w:rPr>
          <w:rFonts w:ascii="Arial" w:hAnsi="Arial" w:cs="Arial"/>
          <w:b/>
          <w:sz w:val="24"/>
          <w:szCs w:val="24"/>
          <w:lang w:val="es-ES"/>
        </w:rPr>
        <w:t>Importante para poder analizar de manera adecuada una hipocaliemia</w:t>
      </w:r>
      <w:r w:rsidRPr="00BF0098">
        <w:rPr>
          <w:rFonts w:ascii="Arial" w:hAnsi="Arial" w:cs="Arial"/>
          <w:sz w:val="24"/>
          <w:szCs w:val="24"/>
          <w:lang w:val="es-ES"/>
        </w:rPr>
        <w:t>:</w:t>
      </w:r>
    </w:p>
    <w:p w:rsidR="003F55C3" w:rsidRPr="00BF0098" w:rsidRDefault="003F55C3" w:rsidP="00BF0098">
      <w:pPr>
        <w:pStyle w:val="NormalWeb"/>
        <w:spacing w:before="0" w:after="0" w:afterAutospacing="0" w:line="360" w:lineRule="auto"/>
        <w:jc w:val="both"/>
        <w:rPr>
          <w:rFonts w:ascii="Arial" w:hAnsi="Arial" w:cs="Arial"/>
          <w:sz w:val="24"/>
          <w:szCs w:val="24"/>
          <w:lang w:val="es-ES"/>
        </w:rPr>
      </w:pPr>
      <w:r w:rsidRPr="00BF0098">
        <w:rPr>
          <w:rFonts w:ascii="Arial" w:hAnsi="Arial" w:cs="Arial"/>
          <w:sz w:val="24"/>
          <w:szCs w:val="24"/>
          <w:lang w:val="es-ES"/>
        </w:rPr>
        <w:t>-Cuál es la causa básica del trastorno: aumento de pérdidas o entrada al espacio intracelular.</w:t>
      </w:r>
    </w:p>
    <w:p w:rsidR="003F55C3" w:rsidRPr="00BF0098" w:rsidRDefault="003F55C3" w:rsidP="00BF0098">
      <w:pPr>
        <w:pStyle w:val="NormalWeb"/>
        <w:spacing w:before="0" w:after="0" w:afterAutospacing="0" w:line="360" w:lineRule="auto"/>
        <w:jc w:val="both"/>
        <w:rPr>
          <w:rFonts w:ascii="Arial" w:hAnsi="Arial" w:cs="Arial"/>
          <w:sz w:val="24"/>
          <w:szCs w:val="24"/>
          <w:lang w:val="es-ES"/>
        </w:rPr>
      </w:pPr>
      <w:r w:rsidRPr="00BF0098">
        <w:rPr>
          <w:rFonts w:ascii="Arial" w:hAnsi="Arial" w:cs="Arial"/>
          <w:sz w:val="24"/>
          <w:szCs w:val="24"/>
          <w:lang w:val="es-ES"/>
        </w:rPr>
        <w:t xml:space="preserve">-La asociación del cuadro clínico con el uso de diuréticos, </w:t>
      </w:r>
      <w:proofErr w:type="gramStart"/>
      <w:r w:rsidRPr="00BF0098">
        <w:rPr>
          <w:rFonts w:ascii="Arial" w:hAnsi="Arial" w:cs="Arial"/>
          <w:sz w:val="24"/>
          <w:szCs w:val="24"/>
          <w:lang w:val="es-ES"/>
        </w:rPr>
        <w:t>digitálicos ,</w:t>
      </w:r>
      <w:proofErr w:type="gramEnd"/>
      <w:r w:rsidRPr="00BF0098">
        <w:rPr>
          <w:rFonts w:ascii="Arial" w:hAnsi="Arial" w:cs="Arial"/>
          <w:sz w:val="24"/>
          <w:szCs w:val="24"/>
          <w:lang w:val="es-ES"/>
        </w:rPr>
        <w:t xml:space="preserve"> laxantes y vómitos.</w:t>
      </w:r>
    </w:p>
    <w:p w:rsidR="003F55C3" w:rsidRPr="00BF0098" w:rsidRDefault="003F55C3" w:rsidP="00BF0098">
      <w:pPr>
        <w:pStyle w:val="NormalWeb"/>
        <w:spacing w:before="0" w:after="0" w:afterAutospacing="0" w:line="360" w:lineRule="auto"/>
        <w:jc w:val="both"/>
        <w:rPr>
          <w:rFonts w:ascii="Arial" w:hAnsi="Arial" w:cs="Arial"/>
          <w:sz w:val="24"/>
          <w:szCs w:val="24"/>
          <w:lang w:val="es-ES"/>
        </w:rPr>
      </w:pPr>
      <w:r w:rsidRPr="00BF0098">
        <w:rPr>
          <w:rFonts w:ascii="Arial" w:hAnsi="Arial" w:cs="Arial"/>
          <w:sz w:val="24"/>
          <w:szCs w:val="24"/>
          <w:lang w:val="es-ES"/>
        </w:rPr>
        <w:lastRenderedPageBreak/>
        <w:t>-Evaluación del equilibrio ácido-básico.</w:t>
      </w:r>
    </w:p>
    <w:p w:rsidR="003F55C3" w:rsidRPr="00BF0098" w:rsidRDefault="003F55C3" w:rsidP="00BF0098">
      <w:pPr>
        <w:pStyle w:val="NormalWeb"/>
        <w:spacing w:before="0" w:after="0" w:afterAutospacing="0" w:line="360" w:lineRule="auto"/>
        <w:jc w:val="both"/>
        <w:rPr>
          <w:rFonts w:ascii="Arial" w:hAnsi="Arial" w:cs="Arial"/>
          <w:sz w:val="24"/>
          <w:szCs w:val="24"/>
          <w:lang w:val="es-ES"/>
        </w:rPr>
      </w:pPr>
      <w:r w:rsidRPr="00BF0098">
        <w:rPr>
          <w:rFonts w:ascii="Arial" w:hAnsi="Arial" w:cs="Arial"/>
          <w:sz w:val="24"/>
          <w:szCs w:val="24"/>
          <w:lang w:val="es-ES"/>
        </w:rPr>
        <w:t>-Vía de adimistración de potasio</w:t>
      </w:r>
      <w:proofErr w:type="gramStart"/>
      <w:r w:rsidRPr="00BF0098">
        <w:rPr>
          <w:rFonts w:ascii="Arial" w:hAnsi="Arial" w:cs="Arial"/>
          <w:sz w:val="24"/>
          <w:szCs w:val="24"/>
          <w:lang w:val="es-ES"/>
        </w:rPr>
        <w:t>:oral</w:t>
      </w:r>
      <w:proofErr w:type="gramEnd"/>
      <w:r w:rsidRPr="00BF0098">
        <w:rPr>
          <w:rFonts w:ascii="Arial" w:hAnsi="Arial" w:cs="Arial"/>
          <w:sz w:val="24"/>
          <w:szCs w:val="24"/>
          <w:lang w:val="es-ES"/>
        </w:rPr>
        <w:t xml:space="preserve"> o parenteral.</w:t>
      </w:r>
    </w:p>
    <w:p w:rsidR="003F55C3" w:rsidRPr="00BF0098" w:rsidRDefault="003F55C3" w:rsidP="00BF0098">
      <w:pPr>
        <w:pStyle w:val="NormalWeb"/>
        <w:spacing w:before="0" w:after="0" w:afterAutospacing="0" w:line="360" w:lineRule="auto"/>
        <w:jc w:val="both"/>
        <w:rPr>
          <w:rFonts w:ascii="Arial" w:hAnsi="Arial" w:cs="Arial"/>
          <w:sz w:val="24"/>
          <w:szCs w:val="24"/>
        </w:rPr>
      </w:pPr>
      <w:r w:rsidRPr="00BF0098">
        <w:rPr>
          <w:rFonts w:ascii="Arial" w:hAnsi="Arial" w:cs="Arial"/>
          <w:sz w:val="24"/>
          <w:szCs w:val="24"/>
          <w:lang w:val="es-ES"/>
        </w:rPr>
        <w:t xml:space="preserve"> </w:t>
      </w:r>
      <w:r w:rsidRPr="00BF0098">
        <w:rPr>
          <w:rFonts w:ascii="Arial" w:hAnsi="Arial" w:cs="Arial"/>
          <w:sz w:val="24"/>
          <w:szCs w:val="24"/>
        </w:rPr>
        <w:t>Cuadro Clinico</w:t>
      </w:r>
    </w:p>
    <w:p w:rsidR="003F55C3" w:rsidRPr="00BF0098" w:rsidRDefault="003F55C3" w:rsidP="00BF0098">
      <w:pPr>
        <w:pStyle w:val="NormalWeb"/>
        <w:numPr>
          <w:ilvl w:val="0"/>
          <w:numId w:val="22"/>
        </w:numPr>
        <w:spacing w:before="0" w:after="0" w:afterAutospacing="0" w:line="360" w:lineRule="auto"/>
        <w:ind w:left="0" w:firstLine="0"/>
        <w:jc w:val="both"/>
        <w:rPr>
          <w:rFonts w:ascii="Arial" w:hAnsi="Arial" w:cs="Arial"/>
          <w:sz w:val="24"/>
          <w:szCs w:val="24"/>
          <w:lang w:val="es-ES"/>
        </w:rPr>
      </w:pPr>
      <w:r w:rsidRPr="00BF0098">
        <w:rPr>
          <w:rFonts w:ascii="Arial" w:hAnsi="Arial" w:cs="Arial"/>
          <w:sz w:val="24"/>
          <w:szCs w:val="24"/>
          <w:lang w:val="es-ES"/>
        </w:rPr>
        <w:t>Aparato cardiovascular: contracciones prematuras auriculares y ventriculares, taquicardia supraventricular, bradicardia y bloqueo auriculoventricular (arritmias), paro cardiaco en sístole. En EKG: onda U mayor de 1mm, aplanamiento de onda T y depresión del segmento ST, ensanchamiento del QRS, prolongación de QT y PR, arritmias.</w:t>
      </w:r>
    </w:p>
    <w:p w:rsidR="003F55C3" w:rsidRPr="00BF0098" w:rsidRDefault="003F55C3" w:rsidP="00BF0098">
      <w:pPr>
        <w:pStyle w:val="NormalWeb"/>
        <w:numPr>
          <w:ilvl w:val="0"/>
          <w:numId w:val="22"/>
        </w:numPr>
        <w:spacing w:before="0" w:after="0" w:afterAutospacing="0" w:line="360" w:lineRule="auto"/>
        <w:ind w:left="0" w:firstLine="0"/>
        <w:jc w:val="both"/>
        <w:rPr>
          <w:rFonts w:ascii="Arial" w:hAnsi="Arial" w:cs="Arial"/>
          <w:sz w:val="24"/>
          <w:szCs w:val="24"/>
          <w:lang w:val="es-ES"/>
        </w:rPr>
      </w:pPr>
      <w:r w:rsidRPr="00BF0098">
        <w:rPr>
          <w:rFonts w:ascii="Arial" w:hAnsi="Arial" w:cs="Arial"/>
          <w:sz w:val="24"/>
          <w:szCs w:val="24"/>
          <w:lang w:val="es-ES"/>
        </w:rPr>
        <w:t xml:space="preserve">Neuromusculares: los que presentan Hipocaliemia grave pueden cursar con astenia, íleo paralítico, retención urinaria, calambres y mialgias, parestesias, rabdomiolisis y atrofia </w:t>
      </w:r>
      <w:proofErr w:type="gramStart"/>
      <w:r w:rsidRPr="00BF0098">
        <w:rPr>
          <w:rFonts w:ascii="Arial" w:hAnsi="Arial" w:cs="Arial"/>
          <w:sz w:val="24"/>
          <w:szCs w:val="24"/>
          <w:lang w:val="es-ES"/>
        </w:rPr>
        <w:t>muscular(</w:t>
      </w:r>
      <w:proofErr w:type="gramEnd"/>
      <w:r w:rsidRPr="00BF0098">
        <w:rPr>
          <w:rFonts w:ascii="Arial" w:hAnsi="Arial" w:cs="Arial"/>
          <w:sz w:val="24"/>
          <w:szCs w:val="24"/>
          <w:lang w:val="es-ES"/>
        </w:rPr>
        <w:t xml:space="preserve"> hipopotasemia crónica).</w:t>
      </w:r>
    </w:p>
    <w:p w:rsidR="003F55C3" w:rsidRPr="00BF0098" w:rsidRDefault="003F55C3" w:rsidP="00BF0098">
      <w:pPr>
        <w:pStyle w:val="NormalWeb"/>
        <w:numPr>
          <w:ilvl w:val="0"/>
          <w:numId w:val="22"/>
        </w:numPr>
        <w:spacing w:before="0" w:after="0" w:afterAutospacing="0" w:line="360" w:lineRule="auto"/>
        <w:ind w:left="0" w:firstLine="0"/>
        <w:jc w:val="both"/>
        <w:rPr>
          <w:rFonts w:ascii="Arial" w:hAnsi="Arial" w:cs="Arial"/>
          <w:sz w:val="24"/>
          <w:szCs w:val="24"/>
          <w:lang w:val="es-ES"/>
        </w:rPr>
      </w:pPr>
      <w:r w:rsidRPr="00BF0098">
        <w:rPr>
          <w:rFonts w:ascii="Arial" w:hAnsi="Arial" w:cs="Arial"/>
          <w:sz w:val="24"/>
          <w:szCs w:val="24"/>
          <w:lang w:val="es-ES"/>
        </w:rPr>
        <w:t>Sistema nervioso central: alteraciones del estado de conciencia que se manifiesta por convulsiones y letargo.</w:t>
      </w:r>
    </w:p>
    <w:p w:rsidR="003F55C3" w:rsidRPr="00BF0098" w:rsidRDefault="003F55C3" w:rsidP="00BF0098">
      <w:pPr>
        <w:pStyle w:val="NormalWeb"/>
        <w:numPr>
          <w:ilvl w:val="0"/>
          <w:numId w:val="22"/>
        </w:numPr>
        <w:spacing w:before="0" w:after="0" w:afterAutospacing="0" w:line="360" w:lineRule="auto"/>
        <w:ind w:left="0" w:firstLine="0"/>
        <w:jc w:val="both"/>
        <w:rPr>
          <w:rFonts w:ascii="Arial" w:hAnsi="Arial" w:cs="Arial"/>
          <w:sz w:val="24"/>
          <w:szCs w:val="24"/>
          <w:lang w:val="es-ES"/>
        </w:rPr>
      </w:pPr>
      <w:r w:rsidRPr="00BF0098">
        <w:rPr>
          <w:rFonts w:ascii="Arial" w:hAnsi="Arial" w:cs="Arial"/>
          <w:sz w:val="24"/>
          <w:szCs w:val="24"/>
          <w:lang w:val="es-ES"/>
        </w:rPr>
        <w:t>Renales: poliuria, polidipsia, nefropatía por hipopotasemia crónica.</w:t>
      </w:r>
    </w:p>
    <w:p w:rsidR="003F55C3" w:rsidRPr="00BF0098" w:rsidRDefault="003F55C3" w:rsidP="00BF0098">
      <w:pPr>
        <w:pStyle w:val="NormalWeb"/>
        <w:numPr>
          <w:ilvl w:val="0"/>
          <w:numId w:val="22"/>
        </w:numPr>
        <w:spacing w:before="0" w:after="0" w:afterAutospacing="0" w:line="360" w:lineRule="auto"/>
        <w:ind w:left="0" w:firstLine="0"/>
        <w:jc w:val="both"/>
        <w:rPr>
          <w:rFonts w:ascii="Arial" w:hAnsi="Arial" w:cs="Arial"/>
          <w:sz w:val="24"/>
          <w:szCs w:val="24"/>
          <w:lang w:val="es-ES"/>
        </w:rPr>
      </w:pPr>
      <w:r w:rsidRPr="00BF0098">
        <w:rPr>
          <w:rFonts w:ascii="Arial" w:hAnsi="Arial" w:cs="Arial"/>
          <w:sz w:val="24"/>
          <w:szCs w:val="24"/>
          <w:lang w:val="es-ES"/>
        </w:rPr>
        <w:t>Metabólicas: intolerancia a los hidratos de carbono, alcalosis metabólica.</w:t>
      </w:r>
    </w:p>
    <w:p w:rsidR="003F55C3" w:rsidRPr="00BF0098" w:rsidRDefault="003F55C3" w:rsidP="00BF0098">
      <w:pPr>
        <w:pStyle w:val="NormalWeb"/>
        <w:spacing w:before="0" w:after="0" w:afterAutospacing="0" w:line="360" w:lineRule="auto"/>
        <w:jc w:val="both"/>
        <w:rPr>
          <w:rFonts w:ascii="Arial" w:hAnsi="Arial" w:cs="Arial"/>
          <w:b/>
          <w:sz w:val="24"/>
          <w:szCs w:val="24"/>
        </w:rPr>
      </w:pPr>
      <w:r w:rsidRPr="00BF0098">
        <w:rPr>
          <w:rFonts w:ascii="Arial" w:hAnsi="Arial" w:cs="Arial"/>
          <w:b/>
          <w:sz w:val="24"/>
          <w:szCs w:val="24"/>
        </w:rPr>
        <w:t>Laboratorio</w:t>
      </w:r>
    </w:p>
    <w:p w:rsidR="003F55C3" w:rsidRPr="00BF0098" w:rsidRDefault="003F55C3" w:rsidP="00BF0098">
      <w:pPr>
        <w:pStyle w:val="Prrafodelista"/>
        <w:numPr>
          <w:ilvl w:val="0"/>
          <w:numId w:val="33"/>
        </w:numPr>
        <w:spacing w:after="0" w:line="360" w:lineRule="auto"/>
        <w:jc w:val="both"/>
        <w:rPr>
          <w:rFonts w:ascii="Arial" w:hAnsi="Arial" w:cs="Arial"/>
          <w:sz w:val="24"/>
          <w:szCs w:val="24"/>
        </w:rPr>
      </w:pPr>
      <w:r w:rsidRPr="00BF0098">
        <w:rPr>
          <w:rFonts w:ascii="Arial" w:hAnsi="Arial" w:cs="Arial"/>
          <w:sz w:val="24"/>
          <w:szCs w:val="24"/>
        </w:rPr>
        <w:t>Ionograma para determinar si es una hipopotasemia ligera, grave o muy grave, por las cifras de K</w:t>
      </w:r>
      <w:r w:rsidRPr="00BF0098">
        <w:rPr>
          <w:rFonts w:ascii="Arial" w:hAnsi="Arial" w:cs="Arial"/>
          <w:sz w:val="24"/>
          <w:szCs w:val="24"/>
          <w:vertAlign w:val="superscript"/>
        </w:rPr>
        <w:t>+</w:t>
      </w:r>
      <w:r w:rsidRPr="00BF0098">
        <w:rPr>
          <w:rFonts w:ascii="Arial" w:hAnsi="Arial" w:cs="Arial"/>
          <w:sz w:val="24"/>
          <w:szCs w:val="24"/>
        </w:rPr>
        <w:t xml:space="preserve"> en plasma y medir además los valores plasmáticos de Na</w:t>
      </w:r>
      <w:r w:rsidRPr="00BF0098">
        <w:rPr>
          <w:rFonts w:ascii="Arial" w:hAnsi="Arial" w:cs="Arial"/>
          <w:sz w:val="24"/>
          <w:szCs w:val="24"/>
          <w:vertAlign w:val="superscript"/>
        </w:rPr>
        <w:t>+</w:t>
      </w:r>
      <w:r w:rsidRPr="00BF0098">
        <w:rPr>
          <w:rFonts w:ascii="Arial" w:hAnsi="Arial" w:cs="Arial"/>
          <w:sz w:val="24"/>
          <w:szCs w:val="24"/>
        </w:rPr>
        <w:t>, Mg</w:t>
      </w:r>
      <w:r w:rsidRPr="00BF0098">
        <w:rPr>
          <w:rFonts w:ascii="Arial" w:hAnsi="Arial" w:cs="Arial"/>
          <w:sz w:val="24"/>
          <w:szCs w:val="24"/>
          <w:vertAlign w:val="superscript"/>
        </w:rPr>
        <w:t>++</w:t>
      </w:r>
      <w:r w:rsidRPr="00BF0098">
        <w:rPr>
          <w:rFonts w:ascii="Arial" w:hAnsi="Arial" w:cs="Arial"/>
          <w:sz w:val="24"/>
          <w:szCs w:val="24"/>
        </w:rPr>
        <w:t>, Ca</w:t>
      </w:r>
      <w:r w:rsidRPr="00BF0098">
        <w:rPr>
          <w:rFonts w:ascii="Arial" w:hAnsi="Arial" w:cs="Arial"/>
          <w:sz w:val="24"/>
          <w:szCs w:val="24"/>
          <w:vertAlign w:val="superscript"/>
        </w:rPr>
        <w:t>++</w:t>
      </w:r>
      <w:r w:rsidRPr="00BF0098">
        <w:rPr>
          <w:rFonts w:ascii="Arial" w:hAnsi="Arial" w:cs="Arial"/>
          <w:sz w:val="24"/>
          <w:szCs w:val="24"/>
        </w:rPr>
        <w:t xml:space="preserve"> y P.</w:t>
      </w:r>
    </w:p>
    <w:p w:rsidR="003F55C3" w:rsidRPr="00BF0098" w:rsidRDefault="003F55C3" w:rsidP="00BF0098">
      <w:pPr>
        <w:pStyle w:val="Prrafodelista"/>
        <w:numPr>
          <w:ilvl w:val="0"/>
          <w:numId w:val="33"/>
        </w:numPr>
        <w:spacing w:after="0" w:line="360" w:lineRule="auto"/>
        <w:jc w:val="both"/>
        <w:rPr>
          <w:rFonts w:ascii="Arial" w:hAnsi="Arial" w:cs="Arial"/>
          <w:sz w:val="24"/>
          <w:szCs w:val="24"/>
        </w:rPr>
      </w:pPr>
      <w:r w:rsidRPr="00BF0098">
        <w:rPr>
          <w:rFonts w:ascii="Arial" w:hAnsi="Arial" w:cs="Arial"/>
          <w:sz w:val="24"/>
          <w:szCs w:val="24"/>
        </w:rPr>
        <w:t>Electrocardiograma para valorar si está acompañada por signos y síntomas cardiovasculares graves.</w:t>
      </w:r>
    </w:p>
    <w:p w:rsidR="003F55C3" w:rsidRPr="00BF0098" w:rsidRDefault="003F55C3" w:rsidP="00BF0098">
      <w:pPr>
        <w:pStyle w:val="Prrafodelista"/>
        <w:numPr>
          <w:ilvl w:val="0"/>
          <w:numId w:val="33"/>
        </w:numPr>
        <w:spacing w:after="0" w:line="360" w:lineRule="auto"/>
        <w:jc w:val="both"/>
        <w:rPr>
          <w:rFonts w:ascii="Arial" w:hAnsi="Arial" w:cs="Arial"/>
          <w:sz w:val="24"/>
          <w:szCs w:val="24"/>
        </w:rPr>
      </w:pPr>
      <w:r w:rsidRPr="00BF0098">
        <w:rPr>
          <w:rFonts w:ascii="Arial" w:hAnsi="Arial" w:cs="Arial"/>
          <w:sz w:val="24"/>
          <w:szCs w:val="24"/>
        </w:rPr>
        <w:t>Medir el Ku y las osmolalidades plasmáticas y urinarias para calcular el GTTK.</w:t>
      </w:r>
    </w:p>
    <w:p w:rsidR="003F55C3" w:rsidRPr="00BF0098" w:rsidRDefault="003F55C3" w:rsidP="00BF0098">
      <w:pPr>
        <w:pStyle w:val="Prrafodelista"/>
        <w:numPr>
          <w:ilvl w:val="0"/>
          <w:numId w:val="33"/>
        </w:numPr>
        <w:spacing w:after="0" w:line="360" w:lineRule="auto"/>
        <w:jc w:val="both"/>
        <w:rPr>
          <w:rFonts w:ascii="Arial" w:hAnsi="Arial" w:cs="Arial"/>
          <w:sz w:val="24"/>
          <w:szCs w:val="24"/>
        </w:rPr>
      </w:pPr>
      <w:r w:rsidRPr="00BF0098">
        <w:rPr>
          <w:rFonts w:ascii="Arial" w:hAnsi="Arial" w:cs="Arial"/>
          <w:sz w:val="24"/>
          <w:szCs w:val="24"/>
        </w:rPr>
        <w:t>Gasometria para evaluar el estado del equilibrio ácido-básico.</w:t>
      </w:r>
    </w:p>
    <w:p w:rsidR="003F55C3" w:rsidRPr="00BF0098" w:rsidRDefault="003F55C3" w:rsidP="00BF0098">
      <w:pPr>
        <w:pStyle w:val="Prrafodelista"/>
        <w:numPr>
          <w:ilvl w:val="0"/>
          <w:numId w:val="33"/>
        </w:numPr>
        <w:spacing w:after="0" w:line="360" w:lineRule="auto"/>
        <w:jc w:val="both"/>
        <w:rPr>
          <w:rFonts w:ascii="Arial" w:hAnsi="Arial" w:cs="Arial"/>
          <w:sz w:val="24"/>
          <w:szCs w:val="24"/>
        </w:rPr>
      </w:pPr>
      <w:r w:rsidRPr="00BF0098">
        <w:rPr>
          <w:rFonts w:ascii="Arial" w:hAnsi="Arial" w:cs="Arial"/>
          <w:sz w:val="24"/>
          <w:szCs w:val="24"/>
        </w:rPr>
        <w:t>Evaluar el estado del volumen del LEC y la tensión arterial.</w:t>
      </w:r>
    </w:p>
    <w:p w:rsidR="003F55C3" w:rsidRPr="00BF0098" w:rsidRDefault="003F55C3" w:rsidP="00BF0098">
      <w:pPr>
        <w:pStyle w:val="Prrafodelista"/>
        <w:numPr>
          <w:ilvl w:val="0"/>
          <w:numId w:val="33"/>
        </w:numPr>
        <w:spacing w:after="0" w:line="360" w:lineRule="auto"/>
        <w:jc w:val="both"/>
        <w:rPr>
          <w:rFonts w:ascii="Arial" w:hAnsi="Arial" w:cs="Arial"/>
          <w:sz w:val="24"/>
          <w:szCs w:val="24"/>
        </w:rPr>
      </w:pPr>
      <w:r w:rsidRPr="00BF0098">
        <w:rPr>
          <w:rFonts w:ascii="Arial" w:hAnsi="Arial" w:cs="Arial"/>
          <w:sz w:val="24"/>
          <w:szCs w:val="24"/>
        </w:rPr>
        <w:t>Medir la renina plasmática y la aldosterona.</w:t>
      </w:r>
    </w:p>
    <w:p w:rsidR="003F55C3" w:rsidRPr="00BF0098" w:rsidRDefault="003F55C3" w:rsidP="00BF0098">
      <w:pPr>
        <w:pStyle w:val="Prrafodelista"/>
        <w:numPr>
          <w:ilvl w:val="0"/>
          <w:numId w:val="33"/>
        </w:numPr>
        <w:spacing w:after="0" w:line="360" w:lineRule="auto"/>
        <w:jc w:val="both"/>
        <w:rPr>
          <w:rFonts w:ascii="Arial" w:hAnsi="Arial" w:cs="Arial"/>
          <w:sz w:val="24"/>
          <w:szCs w:val="24"/>
        </w:rPr>
      </w:pPr>
      <w:r w:rsidRPr="00BF0098">
        <w:rPr>
          <w:rFonts w:ascii="Arial" w:hAnsi="Arial" w:cs="Arial"/>
          <w:sz w:val="24"/>
          <w:szCs w:val="24"/>
        </w:rPr>
        <w:t>Medir el Cloro urinario.</w:t>
      </w:r>
    </w:p>
    <w:p w:rsidR="003F55C3" w:rsidRPr="00BF0098" w:rsidRDefault="003F55C3" w:rsidP="00BF0098">
      <w:pPr>
        <w:pStyle w:val="Ttulo5"/>
        <w:spacing w:before="0" w:after="0" w:line="360" w:lineRule="auto"/>
        <w:jc w:val="both"/>
        <w:rPr>
          <w:rFonts w:ascii="Arial" w:hAnsi="Arial" w:cs="Arial"/>
          <w:bCs w:val="0"/>
          <w:i w:val="0"/>
          <w:iCs w:val="0"/>
          <w:sz w:val="24"/>
          <w:szCs w:val="24"/>
        </w:rPr>
      </w:pPr>
      <w:r w:rsidRPr="00BF0098">
        <w:rPr>
          <w:rFonts w:ascii="Arial" w:hAnsi="Arial" w:cs="Arial"/>
          <w:bCs w:val="0"/>
          <w:i w:val="0"/>
          <w:iCs w:val="0"/>
          <w:sz w:val="24"/>
          <w:szCs w:val="24"/>
        </w:rPr>
        <w:t>Tratamiento</w:t>
      </w:r>
    </w:p>
    <w:p w:rsidR="003F55C3" w:rsidRPr="00BF0098" w:rsidRDefault="003F55C3" w:rsidP="00BF0098">
      <w:pPr>
        <w:numPr>
          <w:ilvl w:val="0"/>
          <w:numId w:val="24"/>
        </w:numPr>
        <w:spacing w:after="0" w:line="360" w:lineRule="auto"/>
        <w:ind w:left="0" w:firstLine="0"/>
        <w:jc w:val="both"/>
        <w:rPr>
          <w:rFonts w:ascii="Arial" w:hAnsi="Arial" w:cs="Arial"/>
          <w:sz w:val="24"/>
          <w:szCs w:val="24"/>
        </w:rPr>
      </w:pPr>
      <w:r w:rsidRPr="00BF0098">
        <w:rPr>
          <w:rFonts w:ascii="Arial" w:hAnsi="Arial" w:cs="Arial"/>
          <w:sz w:val="24"/>
          <w:szCs w:val="24"/>
        </w:rPr>
        <w:t>El tratamiento debe ser preferiblemente lento y por vía oral, lo</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 xml:space="preserve"> </w:t>
      </w:r>
      <w:proofErr w:type="gramStart"/>
      <w:r w:rsidRPr="00BF0098">
        <w:rPr>
          <w:rFonts w:ascii="Arial" w:hAnsi="Arial" w:cs="Arial"/>
          <w:sz w:val="24"/>
          <w:szCs w:val="24"/>
        </w:rPr>
        <w:t>fundamental</w:t>
      </w:r>
      <w:proofErr w:type="gramEnd"/>
      <w:r w:rsidRPr="00BF0098">
        <w:rPr>
          <w:rFonts w:ascii="Arial" w:hAnsi="Arial" w:cs="Arial"/>
          <w:sz w:val="24"/>
          <w:szCs w:val="24"/>
        </w:rPr>
        <w:t xml:space="preserve"> sacar al paciente del peligro y no corregir necesariamente de forma total el  déficit del ión.</w:t>
      </w:r>
    </w:p>
    <w:p w:rsidR="003F55C3" w:rsidRPr="00BF0098" w:rsidRDefault="003F55C3" w:rsidP="00BF0098">
      <w:pPr>
        <w:numPr>
          <w:ilvl w:val="0"/>
          <w:numId w:val="24"/>
        </w:numPr>
        <w:spacing w:after="0" w:line="360" w:lineRule="auto"/>
        <w:ind w:left="0" w:firstLine="0"/>
        <w:jc w:val="both"/>
        <w:rPr>
          <w:rFonts w:ascii="Arial" w:hAnsi="Arial" w:cs="Arial"/>
          <w:sz w:val="24"/>
          <w:szCs w:val="24"/>
        </w:rPr>
      </w:pPr>
      <w:r w:rsidRPr="00BF0098">
        <w:rPr>
          <w:rFonts w:ascii="Arial" w:hAnsi="Arial" w:cs="Arial"/>
          <w:sz w:val="24"/>
          <w:szCs w:val="24"/>
        </w:rPr>
        <w:t>Tratar la causa.</w:t>
      </w:r>
    </w:p>
    <w:p w:rsidR="003F55C3" w:rsidRPr="00BF0098" w:rsidRDefault="003F55C3" w:rsidP="00BF0098">
      <w:pPr>
        <w:numPr>
          <w:ilvl w:val="0"/>
          <w:numId w:val="24"/>
        </w:numPr>
        <w:spacing w:after="0" w:line="360" w:lineRule="auto"/>
        <w:ind w:left="0" w:firstLine="0"/>
        <w:jc w:val="both"/>
        <w:rPr>
          <w:rFonts w:ascii="Arial" w:hAnsi="Arial" w:cs="Arial"/>
          <w:sz w:val="24"/>
          <w:szCs w:val="24"/>
        </w:rPr>
      </w:pPr>
      <w:r w:rsidRPr="00BF0098">
        <w:rPr>
          <w:rFonts w:ascii="Arial" w:hAnsi="Arial" w:cs="Arial"/>
          <w:sz w:val="24"/>
          <w:szCs w:val="24"/>
        </w:rPr>
        <w:lastRenderedPageBreak/>
        <w:t xml:space="preserve"> Es necesario considerar la existencia de factores que alteren la distribución del potasio intra- y extracelular. Si no existen estos factores, la disminución de un 1 mEq/l de K</w:t>
      </w:r>
      <w:r w:rsidRPr="00BF0098">
        <w:rPr>
          <w:rFonts w:ascii="Arial" w:hAnsi="Arial" w:cs="Arial"/>
          <w:sz w:val="24"/>
          <w:szCs w:val="24"/>
          <w:vertAlign w:val="superscript"/>
        </w:rPr>
        <w:t>+</w:t>
      </w:r>
      <w:r w:rsidRPr="00BF0098">
        <w:rPr>
          <w:rFonts w:ascii="Arial" w:hAnsi="Arial" w:cs="Arial"/>
          <w:sz w:val="24"/>
          <w:szCs w:val="24"/>
        </w:rPr>
        <w:t xml:space="preserve"> (p) corresponde a un déficit de 200-400 mEq de potasio. Los suplementos de K</w:t>
      </w:r>
      <w:r w:rsidRPr="00BF0098">
        <w:rPr>
          <w:rFonts w:ascii="Arial" w:hAnsi="Arial" w:cs="Arial"/>
          <w:sz w:val="24"/>
          <w:szCs w:val="24"/>
          <w:vertAlign w:val="superscript"/>
        </w:rPr>
        <w:t>+</w:t>
      </w:r>
      <w:r w:rsidRPr="00BF0098">
        <w:rPr>
          <w:rFonts w:ascii="Arial" w:hAnsi="Arial" w:cs="Arial"/>
          <w:sz w:val="24"/>
          <w:szCs w:val="24"/>
        </w:rPr>
        <w:t xml:space="preserve"> pueden administrarse en forma de cloruro potásico (se mezcla con zumo y se toma después de las comidas para reducir la irritabilidad gástrica), o bien en forma de ascorbato potásico, citrato potásico, etc. El cloruro potásico es de elección en los casos de alcalosis metabólica; por el contrario, cuando existe acidosis metabólica conviene utilizar citrato o aspartato potásico.</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4. El cloruro de potasio se administrará por vía endovenosa en las siguientes circunstancias:</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 Si el K</w:t>
      </w:r>
      <w:r w:rsidRPr="00BF0098">
        <w:rPr>
          <w:rFonts w:ascii="Arial" w:hAnsi="Arial" w:cs="Arial"/>
          <w:sz w:val="24"/>
          <w:szCs w:val="24"/>
          <w:vertAlign w:val="superscript"/>
        </w:rPr>
        <w:t>+</w:t>
      </w:r>
      <w:r w:rsidRPr="00BF0098">
        <w:rPr>
          <w:rFonts w:ascii="Arial" w:hAnsi="Arial" w:cs="Arial"/>
          <w:sz w:val="24"/>
          <w:szCs w:val="24"/>
        </w:rPr>
        <w:t xml:space="preserve"> (p) es inferior a 2,5 mEq/l (hipocaliemia grave)</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 evidencias de disfunción cardíaca, arritmias graves, alteraciones neuromusculares e íleo paralítico.</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 Imposibilidad de empleo de vía oral por vómitos incohercibles, cirugía abdominal e imposibilidad para tomar.</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 Cuadros severos de cetosis.</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Reglas para administrar K por vía endovenosa.</w:t>
      </w:r>
    </w:p>
    <w:p w:rsidR="003F55C3" w:rsidRPr="00BF0098" w:rsidRDefault="003F55C3" w:rsidP="00BF0098">
      <w:pPr>
        <w:numPr>
          <w:ilvl w:val="0"/>
          <w:numId w:val="22"/>
        </w:numPr>
        <w:spacing w:after="0" w:line="360" w:lineRule="auto"/>
        <w:ind w:left="0" w:firstLine="0"/>
        <w:jc w:val="both"/>
        <w:rPr>
          <w:rFonts w:ascii="Arial" w:hAnsi="Arial" w:cs="Arial"/>
          <w:sz w:val="24"/>
          <w:szCs w:val="24"/>
        </w:rPr>
      </w:pPr>
      <w:r w:rsidRPr="00BF0098">
        <w:rPr>
          <w:rFonts w:ascii="Arial" w:hAnsi="Arial" w:cs="Arial"/>
          <w:sz w:val="24"/>
          <w:szCs w:val="24"/>
        </w:rPr>
        <w:t>no más de 15-20 mEq por hora</w:t>
      </w:r>
    </w:p>
    <w:p w:rsidR="003F55C3" w:rsidRPr="00BF0098" w:rsidRDefault="003F55C3" w:rsidP="00BF0098">
      <w:pPr>
        <w:numPr>
          <w:ilvl w:val="0"/>
          <w:numId w:val="22"/>
        </w:numPr>
        <w:spacing w:after="0" w:line="360" w:lineRule="auto"/>
        <w:ind w:left="0" w:firstLine="0"/>
        <w:jc w:val="both"/>
        <w:rPr>
          <w:rFonts w:ascii="Arial" w:hAnsi="Arial" w:cs="Arial"/>
          <w:sz w:val="24"/>
          <w:szCs w:val="24"/>
        </w:rPr>
      </w:pPr>
      <w:r w:rsidRPr="00BF0098">
        <w:rPr>
          <w:rFonts w:ascii="Arial" w:hAnsi="Arial" w:cs="Arial"/>
          <w:sz w:val="24"/>
          <w:szCs w:val="24"/>
        </w:rPr>
        <w:t>no más de 3 mEq por vía endovenosa directa.</w:t>
      </w:r>
    </w:p>
    <w:p w:rsidR="003F55C3" w:rsidRPr="00BF0098" w:rsidRDefault="003F55C3" w:rsidP="00BF0098">
      <w:pPr>
        <w:numPr>
          <w:ilvl w:val="0"/>
          <w:numId w:val="22"/>
        </w:numPr>
        <w:spacing w:after="0" w:line="360" w:lineRule="auto"/>
        <w:ind w:left="0" w:firstLine="0"/>
        <w:jc w:val="both"/>
        <w:rPr>
          <w:rFonts w:ascii="Arial" w:hAnsi="Arial" w:cs="Arial"/>
          <w:sz w:val="24"/>
          <w:szCs w:val="24"/>
        </w:rPr>
      </w:pPr>
      <w:r w:rsidRPr="00BF0098">
        <w:rPr>
          <w:rFonts w:ascii="Arial" w:hAnsi="Arial" w:cs="Arial"/>
          <w:sz w:val="24"/>
          <w:szCs w:val="24"/>
        </w:rPr>
        <w:t>no más de 150 mEq en 24 horas.</w:t>
      </w:r>
    </w:p>
    <w:p w:rsidR="003F55C3" w:rsidRPr="00BF0098" w:rsidRDefault="003F55C3" w:rsidP="00BF0098">
      <w:pPr>
        <w:numPr>
          <w:ilvl w:val="0"/>
          <w:numId w:val="22"/>
        </w:numPr>
        <w:spacing w:after="0" w:line="360" w:lineRule="auto"/>
        <w:ind w:left="0" w:firstLine="0"/>
        <w:jc w:val="both"/>
        <w:rPr>
          <w:rFonts w:ascii="Arial" w:hAnsi="Arial" w:cs="Arial"/>
          <w:sz w:val="24"/>
          <w:szCs w:val="24"/>
        </w:rPr>
      </w:pPr>
      <w:r w:rsidRPr="00BF0098">
        <w:rPr>
          <w:rFonts w:ascii="Arial" w:hAnsi="Arial" w:cs="Arial"/>
          <w:sz w:val="24"/>
          <w:szCs w:val="24"/>
        </w:rPr>
        <w:t>Concentraciones en venoclisis no mayor de 60 mEq/L y en caso de necesidad de las mismas usar una vena central.</w:t>
      </w:r>
    </w:p>
    <w:p w:rsidR="003F55C3" w:rsidRPr="00BF0098" w:rsidRDefault="003F55C3" w:rsidP="00BF0098">
      <w:pPr>
        <w:numPr>
          <w:ilvl w:val="0"/>
          <w:numId w:val="22"/>
        </w:numPr>
        <w:spacing w:after="0" w:line="360" w:lineRule="auto"/>
        <w:ind w:left="0" w:firstLine="0"/>
        <w:jc w:val="both"/>
        <w:rPr>
          <w:rFonts w:ascii="Arial" w:hAnsi="Arial" w:cs="Arial"/>
          <w:sz w:val="24"/>
          <w:szCs w:val="24"/>
        </w:rPr>
      </w:pPr>
      <w:r w:rsidRPr="00BF0098">
        <w:rPr>
          <w:rFonts w:ascii="Arial" w:hAnsi="Arial" w:cs="Arial"/>
          <w:sz w:val="24"/>
          <w:szCs w:val="24"/>
        </w:rPr>
        <w:t>Siempre que se corrige una acidosis metabólica es necesario monitorizar las cifras de K</w:t>
      </w:r>
      <w:r w:rsidRPr="00BF0098">
        <w:rPr>
          <w:rFonts w:ascii="Arial" w:hAnsi="Arial" w:cs="Arial"/>
          <w:sz w:val="24"/>
          <w:szCs w:val="24"/>
          <w:vertAlign w:val="superscript"/>
        </w:rPr>
        <w:t>+</w:t>
      </w:r>
      <w:r w:rsidRPr="00BF0098">
        <w:rPr>
          <w:rFonts w:ascii="Arial" w:hAnsi="Arial" w:cs="Arial"/>
          <w:sz w:val="24"/>
          <w:szCs w:val="24"/>
        </w:rPr>
        <w:t>, teniendo en cuenta que por cada disminución de 0,1 de pH plasmático, se produce un incremento del K</w:t>
      </w:r>
      <w:r w:rsidRPr="00BF0098">
        <w:rPr>
          <w:rFonts w:ascii="Arial" w:hAnsi="Arial" w:cs="Arial"/>
          <w:sz w:val="24"/>
          <w:szCs w:val="24"/>
          <w:vertAlign w:val="superscript"/>
        </w:rPr>
        <w:t>+</w:t>
      </w:r>
      <w:r w:rsidRPr="00BF0098">
        <w:rPr>
          <w:rFonts w:ascii="Arial" w:hAnsi="Arial" w:cs="Arial"/>
          <w:sz w:val="24"/>
          <w:szCs w:val="24"/>
        </w:rPr>
        <w:t xml:space="preserve"> (p) de 0,5 mEq/l.</w:t>
      </w:r>
    </w:p>
    <w:p w:rsidR="003F55C3" w:rsidRPr="00BF0098" w:rsidRDefault="003F55C3" w:rsidP="00BF0098">
      <w:pPr>
        <w:spacing w:line="360" w:lineRule="auto"/>
        <w:jc w:val="both"/>
        <w:rPr>
          <w:rFonts w:ascii="Arial" w:hAnsi="Arial" w:cs="Arial"/>
          <w:sz w:val="24"/>
          <w:szCs w:val="24"/>
        </w:rPr>
      </w:pPr>
    </w:p>
    <w:p w:rsidR="003F55C3" w:rsidRPr="00BF0098" w:rsidRDefault="003F55C3" w:rsidP="00BF0098">
      <w:pPr>
        <w:spacing w:line="360" w:lineRule="auto"/>
        <w:jc w:val="both"/>
        <w:rPr>
          <w:rFonts w:ascii="Arial" w:hAnsi="Arial" w:cs="Arial"/>
          <w:sz w:val="24"/>
          <w:szCs w:val="24"/>
        </w:rPr>
      </w:pPr>
      <w:proofErr w:type="gramStart"/>
      <w:r w:rsidRPr="00BF0098">
        <w:rPr>
          <w:rFonts w:ascii="Arial" w:hAnsi="Arial" w:cs="Arial"/>
          <w:sz w:val="24"/>
          <w:szCs w:val="24"/>
        </w:rPr>
        <w:t>5.Evaluar</w:t>
      </w:r>
      <w:proofErr w:type="gramEnd"/>
      <w:r w:rsidRPr="00BF0098">
        <w:rPr>
          <w:rFonts w:ascii="Arial" w:hAnsi="Arial" w:cs="Arial"/>
          <w:sz w:val="24"/>
          <w:szCs w:val="24"/>
        </w:rPr>
        <w:t xml:space="preserve"> el aporte o ingestión de K</w:t>
      </w:r>
      <w:r w:rsidRPr="00BF0098">
        <w:rPr>
          <w:rFonts w:ascii="Arial" w:hAnsi="Arial" w:cs="Arial"/>
          <w:sz w:val="24"/>
          <w:szCs w:val="24"/>
          <w:vertAlign w:val="superscript"/>
        </w:rPr>
        <w:t>+</w:t>
      </w:r>
      <w:r w:rsidRPr="00BF0098">
        <w:rPr>
          <w:rFonts w:ascii="Arial" w:hAnsi="Arial" w:cs="Arial"/>
          <w:sz w:val="24"/>
          <w:szCs w:val="24"/>
        </w:rPr>
        <w:t>. La reposición del K</w:t>
      </w:r>
      <w:r w:rsidRPr="00BF0098">
        <w:rPr>
          <w:rFonts w:ascii="Arial" w:hAnsi="Arial" w:cs="Arial"/>
          <w:sz w:val="24"/>
          <w:szCs w:val="24"/>
          <w:vertAlign w:val="superscript"/>
        </w:rPr>
        <w:t>+</w:t>
      </w:r>
      <w:r w:rsidRPr="00BF0098">
        <w:rPr>
          <w:rFonts w:ascii="Arial" w:hAnsi="Arial" w:cs="Arial"/>
          <w:sz w:val="24"/>
          <w:szCs w:val="24"/>
        </w:rPr>
        <w:t xml:space="preserve"> por vía oral es más efectiva, más fisiológica y menos peligrosa que la que se hace por vía parenteral y en las hipopotasemias ligeras con vía oral expedidas en la ruta de </w:t>
      </w:r>
      <w:r w:rsidRPr="00BF0098">
        <w:rPr>
          <w:rFonts w:ascii="Arial" w:hAnsi="Arial" w:cs="Arial"/>
          <w:sz w:val="24"/>
          <w:szCs w:val="24"/>
        </w:rPr>
        <w:lastRenderedPageBreak/>
        <w:t>administración recomendada y una ingestión inadecuada de K</w:t>
      </w:r>
      <w:r w:rsidRPr="00BF0098">
        <w:rPr>
          <w:rFonts w:ascii="Arial" w:hAnsi="Arial" w:cs="Arial"/>
          <w:sz w:val="24"/>
          <w:szCs w:val="24"/>
          <w:vertAlign w:val="superscript"/>
        </w:rPr>
        <w:t>+</w:t>
      </w:r>
      <w:r w:rsidRPr="00BF0098">
        <w:rPr>
          <w:rFonts w:ascii="Arial" w:hAnsi="Arial" w:cs="Arial"/>
          <w:sz w:val="24"/>
          <w:szCs w:val="24"/>
        </w:rPr>
        <w:t xml:space="preserve">, puede provocar y perpetuar </w:t>
      </w:r>
      <w:smartTag w:uri="urn:schemas-microsoft-com:office:smarttags" w:element="PersonName">
        <w:smartTagPr>
          <w:attr w:name="ProductID" w:val="la Hipokaliemia"/>
        </w:smartTagPr>
        <w:r w:rsidRPr="00BF0098">
          <w:rPr>
            <w:rFonts w:ascii="Arial" w:hAnsi="Arial" w:cs="Arial"/>
            <w:sz w:val="24"/>
            <w:szCs w:val="24"/>
          </w:rPr>
          <w:t>la Hipokaliemia</w:t>
        </w:r>
      </w:smartTag>
      <w:r w:rsidRPr="00BF0098">
        <w:rPr>
          <w:rFonts w:ascii="Arial" w:hAnsi="Arial" w:cs="Arial"/>
          <w:sz w:val="24"/>
          <w:szCs w:val="24"/>
        </w:rPr>
        <w:t>, es necesario ingerir diariamente entre 75-100 mmol de K</w:t>
      </w:r>
      <w:r w:rsidRPr="00BF0098">
        <w:rPr>
          <w:rFonts w:ascii="Arial" w:hAnsi="Arial" w:cs="Arial"/>
          <w:sz w:val="24"/>
          <w:szCs w:val="24"/>
          <w:vertAlign w:val="superscript"/>
        </w:rPr>
        <w:t>+</w:t>
      </w:r>
      <w:r w:rsidRPr="00BF0098">
        <w:rPr>
          <w:rFonts w:ascii="Arial" w:hAnsi="Arial" w:cs="Arial"/>
          <w:sz w:val="24"/>
          <w:szCs w:val="24"/>
        </w:rPr>
        <w:t>, y para ello el comer alimentos ricos en K</w:t>
      </w:r>
      <w:r w:rsidRPr="00BF0098">
        <w:rPr>
          <w:rFonts w:ascii="Arial" w:hAnsi="Arial" w:cs="Arial"/>
          <w:sz w:val="24"/>
          <w:szCs w:val="24"/>
          <w:vertAlign w:val="superscript"/>
        </w:rPr>
        <w:t>+</w:t>
      </w:r>
      <w:r w:rsidRPr="00BF0098">
        <w:rPr>
          <w:rFonts w:ascii="Arial" w:hAnsi="Arial" w:cs="Arial"/>
          <w:sz w:val="24"/>
          <w:szCs w:val="24"/>
        </w:rPr>
        <w:t>, tales como, es necesario ingerir diariamente entre 75-100 mmol de K</w:t>
      </w:r>
      <w:r w:rsidRPr="00BF0098">
        <w:rPr>
          <w:rFonts w:ascii="Arial" w:hAnsi="Arial" w:cs="Arial"/>
          <w:sz w:val="24"/>
          <w:szCs w:val="24"/>
          <w:vertAlign w:val="superscript"/>
        </w:rPr>
        <w:t>+</w:t>
      </w:r>
      <w:r w:rsidRPr="00BF0098">
        <w:rPr>
          <w:rFonts w:ascii="Arial" w:hAnsi="Arial" w:cs="Arial"/>
          <w:sz w:val="24"/>
          <w:szCs w:val="24"/>
        </w:rPr>
        <w:t>, y para ello el comer alimentos ricos en K</w:t>
      </w:r>
      <w:r w:rsidRPr="00BF0098">
        <w:rPr>
          <w:rFonts w:ascii="Arial" w:hAnsi="Arial" w:cs="Arial"/>
          <w:sz w:val="24"/>
          <w:szCs w:val="24"/>
          <w:vertAlign w:val="superscript"/>
        </w:rPr>
        <w:t>+</w:t>
      </w:r>
      <w:r w:rsidRPr="00BF0098">
        <w:rPr>
          <w:rFonts w:ascii="Arial" w:hAnsi="Arial" w:cs="Arial"/>
          <w:sz w:val="24"/>
          <w:szCs w:val="24"/>
        </w:rPr>
        <w:t>, tales como, plátano fruta y otras frutas tropicales.</w:t>
      </w:r>
    </w:p>
    <w:p w:rsidR="003F55C3" w:rsidRPr="00BF0098" w:rsidRDefault="003F55C3" w:rsidP="00BF0098">
      <w:pPr>
        <w:numPr>
          <w:ilvl w:val="0"/>
          <w:numId w:val="26"/>
        </w:numPr>
        <w:spacing w:after="0" w:line="360" w:lineRule="auto"/>
        <w:ind w:left="0" w:firstLine="0"/>
        <w:jc w:val="both"/>
        <w:rPr>
          <w:rFonts w:ascii="Arial" w:hAnsi="Arial" w:cs="Arial"/>
          <w:sz w:val="24"/>
          <w:szCs w:val="24"/>
        </w:rPr>
      </w:pPr>
      <w:r w:rsidRPr="00BF0098">
        <w:rPr>
          <w:rFonts w:ascii="Arial" w:hAnsi="Arial" w:cs="Arial"/>
          <w:sz w:val="24"/>
          <w:szCs w:val="24"/>
        </w:rPr>
        <w:t>Otras consideraciones de importancia en la terapéutica:</w:t>
      </w:r>
    </w:p>
    <w:p w:rsidR="003F55C3" w:rsidRPr="00BF0098" w:rsidRDefault="003F55C3" w:rsidP="00BF0098">
      <w:pPr>
        <w:numPr>
          <w:ilvl w:val="0"/>
          <w:numId w:val="25"/>
        </w:numPr>
        <w:spacing w:after="0" w:line="360" w:lineRule="auto"/>
        <w:ind w:left="0" w:firstLine="0"/>
        <w:jc w:val="both"/>
        <w:rPr>
          <w:rFonts w:ascii="Arial" w:hAnsi="Arial" w:cs="Arial"/>
          <w:sz w:val="24"/>
          <w:szCs w:val="24"/>
        </w:rPr>
      </w:pPr>
      <w:r w:rsidRPr="00BF0098">
        <w:rPr>
          <w:rFonts w:ascii="Arial" w:hAnsi="Arial" w:cs="Arial"/>
          <w:sz w:val="24"/>
          <w:szCs w:val="24"/>
        </w:rPr>
        <w:t>La hipopotasemia asociada al uso de la digital y sobre todo si se acompaña de Hipercalcemia e Hipomagnesemia aumenta la toxicidad a la digital y por tanto deben corregirse rapidamente, los trastornos electrolíticos, si no puede suspenderse la digital.</w:t>
      </w:r>
    </w:p>
    <w:p w:rsidR="003F55C3" w:rsidRPr="00BF0098" w:rsidRDefault="003F55C3" w:rsidP="00BF0098">
      <w:pPr>
        <w:numPr>
          <w:ilvl w:val="0"/>
          <w:numId w:val="25"/>
        </w:numPr>
        <w:spacing w:after="0" w:line="360" w:lineRule="auto"/>
        <w:ind w:left="0" w:firstLine="0"/>
        <w:jc w:val="both"/>
        <w:rPr>
          <w:rFonts w:ascii="Arial" w:hAnsi="Arial" w:cs="Arial"/>
          <w:sz w:val="24"/>
          <w:szCs w:val="24"/>
        </w:rPr>
      </w:pPr>
      <w:r w:rsidRPr="00BF0098">
        <w:rPr>
          <w:rFonts w:ascii="Arial" w:hAnsi="Arial" w:cs="Arial"/>
          <w:sz w:val="24"/>
          <w:szCs w:val="24"/>
        </w:rPr>
        <w:t xml:space="preserve">Cuando </w:t>
      </w:r>
      <w:smartTag w:uri="urn:schemas-microsoft-com:office:smarttags" w:element="PersonName">
        <w:smartTagPr>
          <w:attr w:name="ProductID" w:val="la Hipopotasemia"/>
        </w:smartTagPr>
        <w:r w:rsidRPr="00BF0098">
          <w:rPr>
            <w:rFonts w:ascii="Arial" w:hAnsi="Arial" w:cs="Arial"/>
            <w:sz w:val="24"/>
            <w:szCs w:val="24"/>
          </w:rPr>
          <w:t>la Hipopotasemia</w:t>
        </w:r>
      </w:smartTag>
      <w:r w:rsidRPr="00BF0098">
        <w:rPr>
          <w:rFonts w:ascii="Arial" w:hAnsi="Arial" w:cs="Arial"/>
          <w:sz w:val="24"/>
          <w:szCs w:val="24"/>
        </w:rPr>
        <w:t xml:space="preserve"> concomite con Hipofosfatemia es recomendable el tratamiento con fosfato de Potasio.</w:t>
      </w:r>
    </w:p>
    <w:p w:rsidR="003F55C3" w:rsidRPr="00BF0098" w:rsidRDefault="003F55C3" w:rsidP="00BF0098">
      <w:pPr>
        <w:numPr>
          <w:ilvl w:val="0"/>
          <w:numId w:val="25"/>
        </w:numPr>
        <w:spacing w:after="0" w:line="360" w:lineRule="auto"/>
        <w:ind w:left="0" w:firstLine="0"/>
        <w:jc w:val="both"/>
        <w:rPr>
          <w:rFonts w:ascii="Arial" w:hAnsi="Arial" w:cs="Arial"/>
          <w:sz w:val="24"/>
          <w:szCs w:val="24"/>
        </w:rPr>
      </w:pPr>
      <w:r w:rsidRPr="00BF0098">
        <w:rPr>
          <w:rFonts w:ascii="Arial" w:hAnsi="Arial" w:cs="Arial"/>
          <w:sz w:val="24"/>
          <w:szCs w:val="24"/>
        </w:rPr>
        <w:t>En casos de Hipopotasemia y acidosis, tratar primero esta y después el trastorno electrolítico.</w:t>
      </w:r>
    </w:p>
    <w:p w:rsidR="003F55C3" w:rsidRPr="00BF0098" w:rsidRDefault="00831C48" w:rsidP="00BF0098">
      <w:pPr>
        <w:pStyle w:val="Ttulo6"/>
        <w:spacing w:before="0" w:after="0" w:line="360" w:lineRule="auto"/>
        <w:jc w:val="both"/>
        <w:rPr>
          <w:rFonts w:ascii="Arial" w:hAnsi="Arial" w:cs="Arial"/>
          <w:bCs w:val="0"/>
          <w:iCs/>
          <w:sz w:val="24"/>
          <w:szCs w:val="24"/>
        </w:rPr>
      </w:pPr>
      <w:r w:rsidRPr="00BF0098">
        <w:rPr>
          <w:rFonts w:ascii="Arial" w:hAnsi="Arial" w:cs="Arial"/>
          <w:bCs w:val="0"/>
          <w:iCs/>
          <w:sz w:val="24"/>
          <w:szCs w:val="24"/>
        </w:rPr>
        <w:t>Hiperpotasemia</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Concepto: Es definida como la existencia de una concentración plasmática de K</w:t>
      </w:r>
      <w:r w:rsidRPr="00BF0098">
        <w:rPr>
          <w:rFonts w:ascii="Arial" w:hAnsi="Arial" w:cs="Arial"/>
          <w:sz w:val="24"/>
          <w:szCs w:val="24"/>
          <w:vertAlign w:val="superscript"/>
        </w:rPr>
        <w:t>+</w:t>
      </w:r>
      <w:r w:rsidRPr="00BF0098">
        <w:rPr>
          <w:rFonts w:ascii="Arial" w:hAnsi="Arial" w:cs="Arial"/>
          <w:sz w:val="24"/>
          <w:szCs w:val="24"/>
        </w:rPr>
        <w:t xml:space="preserve"> &gt; 5,5 Mmol/L, después de haber excluido la pseudohipercaliemia (por hemólisis, trombocitosis, defectos en la obtención de la muestra de sangre ya sea por compresión exagerada o por retardo en la separación de los eritrocitos del suero, etc)</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Etiología</w:t>
      </w:r>
    </w:p>
    <w:p w:rsidR="003F55C3" w:rsidRPr="00BF0098" w:rsidRDefault="003F55C3" w:rsidP="00BF0098">
      <w:pPr>
        <w:numPr>
          <w:ilvl w:val="0"/>
          <w:numId w:val="27"/>
        </w:numPr>
        <w:spacing w:after="0" w:line="360" w:lineRule="auto"/>
        <w:ind w:left="0" w:firstLine="0"/>
        <w:jc w:val="both"/>
        <w:rPr>
          <w:rFonts w:ascii="Arial" w:hAnsi="Arial" w:cs="Arial"/>
          <w:sz w:val="24"/>
          <w:szCs w:val="24"/>
        </w:rPr>
      </w:pPr>
      <w:r w:rsidRPr="00BF0098">
        <w:rPr>
          <w:rFonts w:ascii="Arial" w:hAnsi="Arial" w:cs="Arial"/>
          <w:sz w:val="24"/>
          <w:szCs w:val="24"/>
        </w:rPr>
        <w:t xml:space="preserve">Ingresos excesivos de K: </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Exógenos: dietas bajas en sodio, antibióticos como la penicilina potásica, siempre que exista algún defecto en la excreción urinaria de K.</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Endógenos: por alta concentración de K intracelular en cuadros como hemólisis intravascular, transfusiones de sangre incompatibles, quemaduras, rabdomiólisis,lesiones por aplastamiento, quimioterapia en tumores sólidos o leucemias, en estados hipercatabólicos, entre otros.</w:t>
      </w:r>
    </w:p>
    <w:p w:rsidR="003F55C3" w:rsidRPr="00BF0098" w:rsidRDefault="003F55C3" w:rsidP="00BF0098">
      <w:pPr>
        <w:numPr>
          <w:ilvl w:val="0"/>
          <w:numId w:val="27"/>
        </w:numPr>
        <w:spacing w:after="0" w:line="360" w:lineRule="auto"/>
        <w:ind w:left="0" w:firstLine="0"/>
        <w:jc w:val="both"/>
        <w:rPr>
          <w:rFonts w:ascii="Arial" w:hAnsi="Arial" w:cs="Arial"/>
          <w:sz w:val="24"/>
          <w:szCs w:val="24"/>
        </w:rPr>
      </w:pPr>
      <w:r w:rsidRPr="00BF0098">
        <w:rPr>
          <w:rFonts w:ascii="Arial" w:hAnsi="Arial" w:cs="Arial"/>
          <w:sz w:val="24"/>
          <w:szCs w:val="24"/>
        </w:rPr>
        <w:t xml:space="preserve">Retención exagerada de K: causa más frecuente y grave es la insuficiencia renal, tanto aguda como crónica, en fase de oliguria. Otras causas: hiperplasia suprarrenal congénita, y enfermedades que causen lesión </w:t>
      </w:r>
      <w:r w:rsidRPr="00BF0098">
        <w:rPr>
          <w:rFonts w:ascii="Arial" w:hAnsi="Arial" w:cs="Arial"/>
          <w:sz w:val="24"/>
          <w:szCs w:val="24"/>
        </w:rPr>
        <w:lastRenderedPageBreak/>
        <w:t>tubular y/o intersticial renal como en la sicklemia, el Lupus Eritematoso Sistémico, período postransplante renal, uropatías obstructivas, y en la amiloidosis renal. Medicamentos que antagonizan el efecto excretor de la aldosterona en el túbulo distal de la neurona e inducen la retención de K: espironolactona, triamterene y amiloride.</w:t>
      </w:r>
    </w:p>
    <w:p w:rsidR="003F55C3" w:rsidRPr="00BF0098" w:rsidRDefault="003F55C3" w:rsidP="00BF0098">
      <w:pPr>
        <w:numPr>
          <w:ilvl w:val="0"/>
          <w:numId w:val="27"/>
        </w:numPr>
        <w:spacing w:after="0" w:line="360" w:lineRule="auto"/>
        <w:ind w:left="0" w:firstLine="0"/>
        <w:jc w:val="both"/>
        <w:rPr>
          <w:rFonts w:ascii="Arial" w:hAnsi="Arial" w:cs="Arial"/>
          <w:sz w:val="24"/>
          <w:szCs w:val="24"/>
        </w:rPr>
      </w:pPr>
      <w:r w:rsidRPr="00BF0098">
        <w:rPr>
          <w:rFonts w:ascii="Arial" w:hAnsi="Arial" w:cs="Arial"/>
          <w:sz w:val="24"/>
          <w:szCs w:val="24"/>
        </w:rPr>
        <w:t>Alteración del eje renina – aldosterona: en la enfermedad de Addison.</w:t>
      </w:r>
    </w:p>
    <w:p w:rsidR="003F55C3" w:rsidRPr="00BF0098" w:rsidRDefault="003F55C3" w:rsidP="00BF0098">
      <w:pPr>
        <w:numPr>
          <w:ilvl w:val="0"/>
          <w:numId w:val="27"/>
        </w:numPr>
        <w:spacing w:after="0" w:line="360" w:lineRule="auto"/>
        <w:ind w:left="0" w:firstLine="0"/>
        <w:jc w:val="both"/>
        <w:rPr>
          <w:rFonts w:ascii="Arial" w:hAnsi="Arial" w:cs="Arial"/>
          <w:sz w:val="24"/>
          <w:szCs w:val="24"/>
        </w:rPr>
      </w:pPr>
      <w:r w:rsidRPr="00BF0098">
        <w:rPr>
          <w:rFonts w:ascii="Arial" w:hAnsi="Arial" w:cs="Arial"/>
          <w:sz w:val="24"/>
          <w:szCs w:val="24"/>
        </w:rPr>
        <w:t>Insensibilidad renal al péptido natriurético auricular: síndrome de Gordon y síndrome de Spitzer.</w:t>
      </w:r>
    </w:p>
    <w:p w:rsidR="003F55C3" w:rsidRPr="00BF0098" w:rsidRDefault="003F55C3" w:rsidP="00BF0098">
      <w:pPr>
        <w:pStyle w:val="Ttulo8"/>
        <w:spacing w:before="0" w:after="0" w:line="360" w:lineRule="auto"/>
        <w:jc w:val="both"/>
        <w:rPr>
          <w:rFonts w:ascii="Arial" w:hAnsi="Arial" w:cs="Arial"/>
          <w:b/>
          <w:bCs/>
          <w:i w:val="0"/>
          <w:iCs w:val="0"/>
        </w:rPr>
      </w:pPr>
      <w:r w:rsidRPr="00BF0098">
        <w:rPr>
          <w:rFonts w:ascii="Arial" w:hAnsi="Arial" w:cs="Arial"/>
          <w:b/>
          <w:bCs/>
          <w:i w:val="0"/>
          <w:iCs w:val="0"/>
        </w:rPr>
        <w:t xml:space="preserve">Manifestaciones clínicas de </w:t>
      </w:r>
      <w:smartTag w:uri="urn:schemas-microsoft-com:office:smarttags" w:element="PersonName">
        <w:smartTagPr>
          <w:attr w:name="ProductID" w:val="La Hiperkaliemia"/>
        </w:smartTagPr>
        <w:r w:rsidRPr="00BF0098">
          <w:rPr>
            <w:rFonts w:ascii="Arial" w:hAnsi="Arial" w:cs="Arial"/>
            <w:b/>
            <w:bCs/>
            <w:i w:val="0"/>
            <w:iCs w:val="0"/>
          </w:rPr>
          <w:t>la Hiperkaliemia</w:t>
        </w:r>
      </w:smartTag>
    </w:p>
    <w:p w:rsidR="003F55C3" w:rsidRPr="00BF0098" w:rsidRDefault="003F55C3" w:rsidP="00BF0098">
      <w:pPr>
        <w:tabs>
          <w:tab w:val="left" w:pos="944"/>
        </w:tabs>
        <w:spacing w:line="360" w:lineRule="auto"/>
        <w:jc w:val="both"/>
        <w:rPr>
          <w:rFonts w:ascii="Arial" w:hAnsi="Arial" w:cs="Arial"/>
          <w:sz w:val="24"/>
          <w:szCs w:val="24"/>
        </w:rPr>
      </w:pPr>
      <w:r w:rsidRPr="00BF0098">
        <w:rPr>
          <w:rFonts w:ascii="Arial" w:hAnsi="Arial" w:cs="Arial"/>
          <w:sz w:val="24"/>
          <w:szCs w:val="24"/>
        </w:rPr>
        <w:t>Sus manifestaciones clínicas dependen fundamentalmene del incremento de la excitabilidad  eléctrica de la membrana celular neuromuscular y de los efectos tóxicos sobre el corazón del incremento de las cifras de  K</w:t>
      </w:r>
      <w:r w:rsidRPr="00BF0098">
        <w:rPr>
          <w:rFonts w:ascii="Arial" w:hAnsi="Arial" w:cs="Arial"/>
          <w:sz w:val="24"/>
          <w:szCs w:val="24"/>
          <w:vertAlign w:val="superscript"/>
        </w:rPr>
        <w:t>+</w:t>
      </w:r>
      <w:r w:rsidRPr="00BF0098">
        <w:rPr>
          <w:rFonts w:ascii="Arial" w:hAnsi="Arial" w:cs="Arial"/>
          <w:sz w:val="24"/>
          <w:szCs w:val="24"/>
        </w:rPr>
        <w:t xml:space="preserve">, que son por lo demás, los causantes principales de la morbilidad y mortalidad, ante la presencia de este trastorno. </w:t>
      </w:r>
    </w:p>
    <w:p w:rsidR="003F55C3" w:rsidRPr="00BF0098" w:rsidRDefault="003F55C3" w:rsidP="00BF0098">
      <w:pPr>
        <w:tabs>
          <w:tab w:val="left" w:pos="944"/>
        </w:tabs>
        <w:spacing w:line="360" w:lineRule="auto"/>
        <w:jc w:val="both"/>
        <w:rPr>
          <w:rFonts w:ascii="Arial" w:hAnsi="Arial" w:cs="Arial"/>
          <w:sz w:val="24"/>
          <w:szCs w:val="24"/>
        </w:rPr>
      </w:pPr>
      <w:r w:rsidRPr="00BF0098">
        <w:rPr>
          <w:rFonts w:ascii="Arial" w:hAnsi="Arial" w:cs="Arial"/>
          <w:sz w:val="24"/>
          <w:szCs w:val="24"/>
        </w:rPr>
        <w:t>Síntomas neuromusculares: astenia, parestesias, paresia, ileo paralítico, disartria, disfagia.</w:t>
      </w:r>
    </w:p>
    <w:p w:rsidR="003F55C3" w:rsidRPr="00BF0098" w:rsidRDefault="003F55C3" w:rsidP="00BF0098">
      <w:pPr>
        <w:tabs>
          <w:tab w:val="left" w:pos="944"/>
        </w:tabs>
        <w:spacing w:line="360" w:lineRule="auto"/>
        <w:jc w:val="both"/>
        <w:rPr>
          <w:rFonts w:ascii="Arial" w:hAnsi="Arial" w:cs="Arial"/>
          <w:sz w:val="24"/>
          <w:szCs w:val="24"/>
        </w:rPr>
      </w:pPr>
      <w:r w:rsidRPr="00BF0098">
        <w:rPr>
          <w:rFonts w:ascii="Arial" w:hAnsi="Arial" w:cs="Arial"/>
          <w:sz w:val="24"/>
          <w:szCs w:val="24"/>
        </w:rPr>
        <w:t>Manifestaciones cardiacas: los trastornos en la conducción cardiaca pueden llegar a la fibrilación ventricular y paro en sístole, por ende le por ende el registro electrocardiográfico permanente es importante para el control de este trastorno.</w:t>
      </w:r>
    </w:p>
    <w:p w:rsidR="003F55C3" w:rsidRPr="00BF0098" w:rsidRDefault="003F55C3" w:rsidP="00BF0098">
      <w:pPr>
        <w:tabs>
          <w:tab w:val="left" w:pos="944"/>
        </w:tabs>
        <w:spacing w:line="360" w:lineRule="auto"/>
        <w:jc w:val="both"/>
        <w:rPr>
          <w:rFonts w:ascii="Arial" w:hAnsi="Arial" w:cs="Arial"/>
          <w:sz w:val="24"/>
          <w:szCs w:val="24"/>
        </w:rPr>
      </w:pPr>
      <w:r w:rsidRPr="00BF0098">
        <w:rPr>
          <w:rFonts w:ascii="Arial" w:hAnsi="Arial" w:cs="Arial"/>
          <w:sz w:val="24"/>
          <w:szCs w:val="24"/>
        </w:rPr>
        <w:t>Cuando el K sérico es mayor de 6 mEq/ L la onda T se hace picuda.</w:t>
      </w:r>
    </w:p>
    <w:p w:rsidR="003F55C3" w:rsidRPr="00BF0098" w:rsidRDefault="003F55C3" w:rsidP="00BF0098">
      <w:pPr>
        <w:tabs>
          <w:tab w:val="left" w:pos="944"/>
        </w:tabs>
        <w:spacing w:line="360" w:lineRule="auto"/>
        <w:jc w:val="both"/>
        <w:rPr>
          <w:rFonts w:ascii="Arial" w:hAnsi="Arial" w:cs="Arial"/>
          <w:sz w:val="24"/>
          <w:szCs w:val="24"/>
        </w:rPr>
      </w:pPr>
      <w:r w:rsidRPr="00BF0098">
        <w:rPr>
          <w:rFonts w:ascii="Arial" w:hAnsi="Arial" w:cs="Arial"/>
          <w:sz w:val="24"/>
          <w:szCs w:val="24"/>
        </w:rPr>
        <w:t>Cuando el K sérico está entre 7 y 8 mEq/L el complejo QRS se ensancha y la onda P tiende a desaparecer.</w:t>
      </w:r>
    </w:p>
    <w:p w:rsidR="003F55C3" w:rsidRPr="00BF0098" w:rsidRDefault="003F55C3" w:rsidP="00BF0098">
      <w:pPr>
        <w:tabs>
          <w:tab w:val="left" w:pos="944"/>
        </w:tabs>
        <w:spacing w:line="360" w:lineRule="auto"/>
        <w:jc w:val="both"/>
        <w:rPr>
          <w:rFonts w:ascii="Arial" w:hAnsi="Arial" w:cs="Arial"/>
          <w:sz w:val="24"/>
          <w:szCs w:val="24"/>
        </w:rPr>
      </w:pPr>
      <w:r w:rsidRPr="00BF0098">
        <w:rPr>
          <w:rFonts w:ascii="Arial" w:hAnsi="Arial" w:cs="Arial"/>
          <w:sz w:val="24"/>
          <w:szCs w:val="24"/>
        </w:rPr>
        <w:t xml:space="preserve">Cuando el K sérico es mayor de 8 mEq/L aparece una onda </w:t>
      </w:r>
      <w:proofErr w:type="gramStart"/>
      <w:r w:rsidRPr="00BF0098">
        <w:rPr>
          <w:rFonts w:ascii="Arial" w:hAnsi="Arial" w:cs="Arial"/>
          <w:sz w:val="24"/>
          <w:szCs w:val="24"/>
        </w:rPr>
        <w:t>sinusoidal ,</w:t>
      </w:r>
      <w:proofErr w:type="gramEnd"/>
      <w:r w:rsidRPr="00BF0098">
        <w:rPr>
          <w:rFonts w:ascii="Arial" w:hAnsi="Arial" w:cs="Arial"/>
          <w:sz w:val="24"/>
          <w:szCs w:val="24"/>
        </w:rPr>
        <w:t xml:space="preserve"> alargamiento del QT, le sigue la fibrilación ventricular y el paro.</w:t>
      </w:r>
    </w:p>
    <w:p w:rsidR="003F55C3" w:rsidRPr="00BF0098" w:rsidRDefault="003F55C3" w:rsidP="00BF0098">
      <w:pPr>
        <w:tabs>
          <w:tab w:val="left" w:pos="944"/>
        </w:tabs>
        <w:spacing w:line="360" w:lineRule="auto"/>
        <w:jc w:val="both"/>
        <w:rPr>
          <w:rFonts w:ascii="Arial" w:hAnsi="Arial" w:cs="Arial"/>
          <w:sz w:val="24"/>
          <w:szCs w:val="24"/>
        </w:rPr>
      </w:pPr>
      <w:r w:rsidRPr="00BF0098">
        <w:rPr>
          <w:rFonts w:ascii="Arial" w:hAnsi="Arial" w:cs="Arial"/>
          <w:sz w:val="24"/>
          <w:szCs w:val="24"/>
        </w:rPr>
        <w:t>La toxicidad cardíaca de la hiperpotasemia se puede acentuar con la presencia de hipocalcemia, hiponatremia, acidosis o elevación rápida de la concentración del K sérico.</w:t>
      </w:r>
    </w:p>
    <w:p w:rsidR="003F55C3" w:rsidRPr="00BF0098" w:rsidRDefault="003F55C3" w:rsidP="00BF0098">
      <w:pPr>
        <w:tabs>
          <w:tab w:val="left" w:pos="944"/>
        </w:tabs>
        <w:spacing w:line="360" w:lineRule="auto"/>
        <w:jc w:val="both"/>
        <w:rPr>
          <w:rFonts w:ascii="Arial" w:hAnsi="Arial" w:cs="Arial"/>
          <w:sz w:val="24"/>
          <w:szCs w:val="24"/>
        </w:rPr>
      </w:pPr>
    </w:p>
    <w:p w:rsidR="003F55C3" w:rsidRPr="00BF0098" w:rsidRDefault="003F55C3" w:rsidP="00BF0098">
      <w:pPr>
        <w:tabs>
          <w:tab w:val="left" w:pos="944"/>
        </w:tabs>
        <w:spacing w:line="360" w:lineRule="auto"/>
        <w:jc w:val="both"/>
        <w:rPr>
          <w:rFonts w:ascii="Arial" w:hAnsi="Arial" w:cs="Arial"/>
          <w:b/>
          <w:bCs/>
          <w:sz w:val="24"/>
          <w:szCs w:val="24"/>
        </w:rPr>
      </w:pPr>
      <w:r w:rsidRPr="00BF0098">
        <w:rPr>
          <w:rFonts w:ascii="Arial" w:hAnsi="Arial" w:cs="Arial"/>
          <w:b/>
          <w:bCs/>
          <w:sz w:val="24"/>
          <w:szCs w:val="24"/>
        </w:rPr>
        <w:t xml:space="preserve"> Diagnóstico y complementarios</w:t>
      </w:r>
    </w:p>
    <w:p w:rsidR="003F55C3" w:rsidRPr="00BF0098" w:rsidRDefault="003F55C3" w:rsidP="00BF0098">
      <w:pPr>
        <w:tabs>
          <w:tab w:val="left" w:pos="944"/>
        </w:tabs>
        <w:spacing w:line="360" w:lineRule="auto"/>
        <w:jc w:val="both"/>
        <w:rPr>
          <w:rFonts w:ascii="Arial" w:hAnsi="Arial" w:cs="Arial"/>
          <w:sz w:val="24"/>
          <w:szCs w:val="24"/>
        </w:rPr>
      </w:pPr>
      <w:r w:rsidRPr="00BF0098">
        <w:rPr>
          <w:rFonts w:ascii="Arial" w:hAnsi="Arial" w:cs="Arial"/>
          <w:b/>
          <w:bCs/>
          <w:sz w:val="24"/>
          <w:szCs w:val="24"/>
        </w:rPr>
        <w:lastRenderedPageBreak/>
        <w:t>.</w:t>
      </w:r>
      <w:r w:rsidRPr="00BF0098">
        <w:rPr>
          <w:rFonts w:ascii="Arial" w:hAnsi="Arial" w:cs="Arial"/>
          <w:sz w:val="24"/>
          <w:szCs w:val="24"/>
        </w:rPr>
        <w:t xml:space="preserve"> La evaluación inicial de una hiperpotasemia debe incluir: 1) Anamnesis. Debe investigarse: ingesta de suplementos de K</w:t>
      </w:r>
      <w:r w:rsidRPr="00BF0098">
        <w:rPr>
          <w:rFonts w:ascii="Arial" w:hAnsi="Arial" w:cs="Arial"/>
          <w:sz w:val="24"/>
          <w:szCs w:val="24"/>
          <w:vertAlign w:val="superscript"/>
        </w:rPr>
        <w:t>+</w:t>
      </w:r>
      <w:r w:rsidRPr="00BF0098">
        <w:rPr>
          <w:rFonts w:ascii="Arial" w:hAnsi="Arial" w:cs="Arial"/>
          <w:sz w:val="24"/>
          <w:szCs w:val="24"/>
        </w:rPr>
        <w:t>, toma de AINE, IECA, betabloqueantes y diuréticos ahorradores de potasio, historia de enfermedad renal, diabetes, episodios de debilidad muscular, etc.</w:t>
      </w:r>
    </w:p>
    <w:p w:rsidR="003F55C3" w:rsidRPr="00BF0098" w:rsidRDefault="003F55C3" w:rsidP="00BF0098">
      <w:pPr>
        <w:tabs>
          <w:tab w:val="left" w:pos="944"/>
        </w:tabs>
        <w:spacing w:line="360" w:lineRule="auto"/>
        <w:jc w:val="both"/>
        <w:rPr>
          <w:rFonts w:ascii="Arial" w:hAnsi="Arial" w:cs="Arial"/>
          <w:sz w:val="24"/>
          <w:szCs w:val="24"/>
        </w:rPr>
      </w:pPr>
      <w:r w:rsidRPr="00BF0098">
        <w:rPr>
          <w:rFonts w:ascii="Arial" w:hAnsi="Arial" w:cs="Arial"/>
          <w:sz w:val="24"/>
          <w:szCs w:val="24"/>
        </w:rPr>
        <w:t xml:space="preserve"> 2) Exploración física. Se deben buscar signos de depleción o de sobrecarga de volumen, hiperpigmentación cutánea, etc. </w:t>
      </w:r>
    </w:p>
    <w:p w:rsidR="003F55C3" w:rsidRPr="00BF0098" w:rsidRDefault="003F55C3" w:rsidP="00BF0098">
      <w:pPr>
        <w:tabs>
          <w:tab w:val="left" w:pos="944"/>
        </w:tabs>
        <w:spacing w:line="360" w:lineRule="auto"/>
        <w:jc w:val="both"/>
        <w:rPr>
          <w:rFonts w:ascii="Arial" w:hAnsi="Arial" w:cs="Arial"/>
          <w:sz w:val="24"/>
          <w:szCs w:val="24"/>
        </w:rPr>
      </w:pPr>
      <w:r w:rsidRPr="00BF0098">
        <w:rPr>
          <w:rFonts w:ascii="Arial" w:hAnsi="Arial" w:cs="Arial"/>
          <w:sz w:val="24"/>
          <w:szCs w:val="24"/>
        </w:rPr>
        <w:t xml:space="preserve">3) Electrocardiograma. </w:t>
      </w:r>
    </w:p>
    <w:p w:rsidR="00831C48" w:rsidRPr="00BF0098" w:rsidRDefault="003F55C3" w:rsidP="00BF0098">
      <w:pPr>
        <w:tabs>
          <w:tab w:val="left" w:pos="944"/>
        </w:tabs>
        <w:spacing w:line="360" w:lineRule="auto"/>
        <w:jc w:val="both"/>
        <w:rPr>
          <w:rFonts w:ascii="Arial" w:hAnsi="Arial" w:cs="Arial"/>
          <w:sz w:val="24"/>
          <w:szCs w:val="24"/>
        </w:rPr>
      </w:pPr>
      <w:r w:rsidRPr="00BF0098">
        <w:rPr>
          <w:rFonts w:ascii="Arial" w:hAnsi="Arial" w:cs="Arial"/>
          <w:sz w:val="24"/>
          <w:szCs w:val="24"/>
        </w:rPr>
        <w:t>4) Datos de laboratorio. Debe realizarse: gasometría venosa, glucemia, creatinina sérica, Na</w:t>
      </w:r>
      <w:r w:rsidRPr="00BF0098">
        <w:rPr>
          <w:rFonts w:ascii="Arial" w:hAnsi="Arial" w:cs="Arial"/>
          <w:sz w:val="24"/>
          <w:szCs w:val="24"/>
          <w:vertAlign w:val="superscript"/>
        </w:rPr>
        <w:t>++</w:t>
      </w:r>
      <w:r w:rsidRPr="00BF0098">
        <w:rPr>
          <w:rFonts w:ascii="Arial" w:hAnsi="Arial" w:cs="Arial"/>
          <w:sz w:val="24"/>
          <w:szCs w:val="24"/>
        </w:rPr>
        <w:t xml:space="preserve"> (p), K</w:t>
      </w:r>
      <w:r w:rsidRPr="00BF0098">
        <w:rPr>
          <w:rFonts w:ascii="Arial" w:hAnsi="Arial" w:cs="Arial"/>
          <w:sz w:val="24"/>
          <w:szCs w:val="24"/>
          <w:vertAlign w:val="superscript"/>
        </w:rPr>
        <w:t>+</w:t>
      </w:r>
      <w:r w:rsidRPr="00BF0098">
        <w:rPr>
          <w:rFonts w:ascii="Arial" w:hAnsi="Arial" w:cs="Arial"/>
          <w:sz w:val="24"/>
          <w:szCs w:val="24"/>
        </w:rPr>
        <w:t xml:space="preserve"> (p), eliminaciones urinarias de Na</w:t>
      </w:r>
      <w:r w:rsidRPr="00BF0098">
        <w:rPr>
          <w:rFonts w:ascii="Arial" w:hAnsi="Arial" w:cs="Arial"/>
          <w:sz w:val="24"/>
          <w:szCs w:val="24"/>
          <w:vertAlign w:val="superscript"/>
        </w:rPr>
        <w:t>++</w:t>
      </w:r>
      <w:r w:rsidRPr="00BF0098">
        <w:rPr>
          <w:rFonts w:ascii="Arial" w:hAnsi="Arial" w:cs="Arial"/>
          <w:sz w:val="24"/>
          <w:szCs w:val="24"/>
        </w:rPr>
        <w:t xml:space="preserve"> y K</w:t>
      </w:r>
      <w:r w:rsidRPr="00BF0098">
        <w:rPr>
          <w:rFonts w:ascii="Arial" w:hAnsi="Arial" w:cs="Arial"/>
          <w:sz w:val="24"/>
          <w:szCs w:val="24"/>
          <w:vertAlign w:val="superscript"/>
        </w:rPr>
        <w:t>+</w:t>
      </w:r>
      <w:r w:rsidRPr="00BF0098">
        <w:rPr>
          <w:rFonts w:ascii="Arial" w:hAnsi="Arial" w:cs="Arial"/>
          <w:sz w:val="24"/>
          <w:szCs w:val="24"/>
        </w:rPr>
        <w:t>y en algunos casos renina y aldosterona.</w:t>
      </w:r>
    </w:p>
    <w:p w:rsidR="00831C48" w:rsidRPr="00BF0098" w:rsidRDefault="003F55C3" w:rsidP="00BF0098">
      <w:pPr>
        <w:tabs>
          <w:tab w:val="left" w:pos="944"/>
        </w:tabs>
        <w:spacing w:line="360" w:lineRule="auto"/>
        <w:jc w:val="both"/>
        <w:rPr>
          <w:rFonts w:ascii="Arial" w:hAnsi="Arial" w:cs="Arial"/>
          <w:b/>
          <w:bCs/>
          <w:sz w:val="24"/>
          <w:szCs w:val="24"/>
        </w:rPr>
      </w:pPr>
      <w:r w:rsidRPr="00BF0098">
        <w:rPr>
          <w:rFonts w:ascii="Arial" w:hAnsi="Arial" w:cs="Arial"/>
          <w:b/>
          <w:bCs/>
          <w:sz w:val="24"/>
          <w:szCs w:val="24"/>
        </w:rPr>
        <w:t>Tratamiento.</w:t>
      </w:r>
    </w:p>
    <w:p w:rsidR="003F55C3" w:rsidRPr="00BF0098" w:rsidRDefault="003F55C3" w:rsidP="00BF0098">
      <w:pPr>
        <w:tabs>
          <w:tab w:val="left" w:pos="944"/>
        </w:tabs>
        <w:spacing w:line="360" w:lineRule="auto"/>
        <w:jc w:val="both"/>
        <w:rPr>
          <w:rFonts w:ascii="Arial" w:hAnsi="Arial" w:cs="Arial"/>
          <w:sz w:val="24"/>
          <w:szCs w:val="24"/>
        </w:rPr>
      </w:pPr>
      <w:r w:rsidRPr="00BF0098">
        <w:rPr>
          <w:rFonts w:ascii="Arial" w:hAnsi="Arial" w:cs="Arial"/>
          <w:sz w:val="24"/>
          <w:szCs w:val="24"/>
          <w:lang w:val="es-ES"/>
        </w:rPr>
        <w:t>Depende de las cifras de K</w:t>
      </w:r>
      <w:r w:rsidRPr="00BF0098">
        <w:rPr>
          <w:rFonts w:ascii="Arial" w:hAnsi="Arial" w:cs="Arial"/>
          <w:sz w:val="24"/>
          <w:szCs w:val="24"/>
          <w:vertAlign w:val="superscript"/>
          <w:lang w:val="es-ES"/>
        </w:rPr>
        <w:t>+</w:t>
      </w:r>
      <w:r w:rsidRPr="00BF0098">
        <w:rPr>
          <w:rFonts w:ascii="Arial" w:hAnsi="Arial" w:cs="Arial"/>
          <w:sz w:val="24"/>
          <w:szCs w:val="24"/>
          <w:lang w:val="es-ES"/>
        </w:rPr>
        <w:t xml:space="preserve"> plasmático  y de la repercusión electrocardiográfica. Cuando no existe correlación entre las alteraciones del ECG y las cifras de K</w:t>
      </w:r>
      <w:r w:rsidRPr="00BF0098">
        <w:rPr>
          <w:rFonts w:ascii="Arial" w:hAnsi="Arial" w:cs="Arial"/>
          <w:sz w:val="24"/>
          <w:szCs w:val="24"/>
          <w:vertAlign w:val="superscript"/>
          <w:lang w:val="es-ES"/>
        </w:rPr>
        <w:t>+</w:t>
      </w:r>
      <w:r w:rsidRPr="00BF0098">
        <w:rPr>
          <w:rFonts w:ascii="Arial" w:hAnsi="Arial" w:cs="Arial"/>
          <w:sz w:val="24"/>
          <w:szCs w:val="24"/>
          <w:lang w:val="es-ES"/>
        </w:rPr>
        <w:t xml:space="preserve"> plasmático, prevalece el primer criterio a la hora de establecer el tratamiento. El tratamiento debe estar dirigido primero a corregir la hipercaliemia después su origen.</w:t>
      </w:r>
    </w:p>
    <w:p w:rsidR="003F55C3" w:rsidRPr="00BF0098" w:rsidRDefault="003F55C3" w:rsidP="00BF0098">
      <w:pPr>
        <w:pStyle w:val="NormalWeb"/>
        <w:spacing w:before="0" w:after="0" w:afterAutospacing="0" w:line="360" w:lineRule="auto"/>
        <w:jc w:val="both"/>
        <w:rPr>
          <w:rFonts w:ascii="Arial" w:hAnsi="Arial" w:cs="Arial"/>
          <w:sz w:val="24"/>
          <w:szCs w:val="24"/>
          <w:lang w:val="es-ES"/>
        </w:rPr>
      </w:pPr>
      <w:r w:rsidRPr="00BF0098">
        <w:rPr>
          <w:rFonts w:ascii="Arial" w:hAnsi="Arial" w:cs="Arial"/>
          <w:sz w:val="24"/>
          <w:szCs w:val="24"/>
          <w:lang w:val="es-ES"/>
        </w:rPr>
        <w:t>1 .Medidas generales: suprimir todo aporte exógeno de potasio y prevenir todas las situaciones que puedan generar hipercatabolia.</w:t>
      </w:r>
    </w:p>
    <w:p w:rsidR="003F55C3" w:rsidRPr="00BF0098" w:rsidRDefault="003F55C3" w:rsidP="00BF0098">
      <w:pPr>
        <w:pStyle w:val="NormalWeb"/>
        <w:spacing w:before="0" w:after="0" w:afterAutospacing="0" w:line="360" w:lineRule="auto"/>
        <w:jc w:val="both"/>
        <w:rPr>
          <w:rFonts w:ascii="Arial" w:hAnsi="Arial" w:cs="Arial"/>
          <w:sz w:val="24"/>
          <w:szCs w:val="24"/>
          <w:lang w:val="es-ES"/>
        </w:rPr>
      </w:pPr>
      <w:r w:rsidRPr="00BF0098">
        <w:rPr>
          <w:rFonts w:ascii="Arial" w:hAnsi="Arial" w:cs="Arial"/>
          <w:sz w:val="24"/>
          <w:szCs w:val="24"/>
          <w:lang w:val="es-ES"/>
        </w:rPr>
        <w:t xml:space="preserve">2. Medidas de eliminación: </w:t>
      </w:r>
    </w:p>
    <w:p w:rsidR="003F55C3" w:rsidRPr="00BF0098" w:rsidRDefault="003F55C3" w:rsidP="00BF0098">
      <w:pPr>
        <w:pStyle w:val="NormalWeb"/>
        <w:spacing w:before="0" w:after="0" w:afterAutospacing="0" w:line="360" w:lineRule="auto"/>
        <w:jc w:val="both"/>
        <w:rPr>
          <w:rFonts w:ascii="Arial" w:hAnsi="Arial" w:cs="Arial"/>
          <w:sz w:val="24"/>
          <w:szCs w:val="24"/>
          <w:lang w:val="es-ES"/>
        </w:rPr>
      </w:pPr>
      <w:r w:rsidRPr="00BF0098">
        <w:rPr>
          <w:rFonts w:ascii="Arial" w:hAnsi="Arial" w:cs="Arial"/>
          <w:sz w:val="24"/>
          <w:szCs w:val="24"/>
          <w:lang w:val="es-ES"/>
        </w:rPr>
        <w:t>- Con potasio menor de 7 meq/L y sin alteraciones electrocardiográficas: resinas de intercambio iónico (1g / Kg) por dosis por vía oral o en enemas, se puede repetir cada 2-4 horas.</w:t>
      </w:r>
    </w:p>
    <w:p w:rsidR="003F55C3" w:rsidRPr="00BF0098" w:rsidRDefault="003F55C3" w:rsidP="00BF0098">
      <w:pPr>
        <w:pStyle w:val="NormalWeb"/>
        <w:spacing w:before="0" w:after="0" w:afterAutospacing="0" w:line="360" w:lineRule="auto"/>
        <w:jc w:val="both"/>
        <w:rPr>
          <w:rFonts w:ascii="Arial" w:hAnsi="Arial" w:cs="Arial"/>
          <w:sz w:val="24"/>
          <w:szCs w:val="24"/>
          <w:lang w:val="es-ES"/>
        </w:rPr>
      </w:pPr>
      <w:r w:rsidRPr="00BF0098">
        <w:rPr>
          <w:rFonts w:ascii="Arial" w:hAnsi="Arial" w:cs="Arial"/>
          <w:sz w:val="24"/>
          <w:szCs w:val="24"/>
          <w:lang w:val="es-ES"/>
        </w:rPr>
        <w:t>- Con potasio superior a 7 mEq/L con alteraciones electrocardiográficas:</w:t>
      </w:r>
    </w:p>
    <w:p w:rsidR="003F55C3" w:rsidRPr="00BF0098" w:rsidRDefault="003F55C3" w:rsidP="00BF0098">
      <w:pPr>
        <w:pStyle w:val="NormalWeb"/>
        <w:spacing w:before="0" w:after="0" w:afterAutospacing="0" w:line="360" w:lineRule="auto"/>
        <w:jc w:val="both"/>
        <w:rPr>
          <w:rFonts w:ascii="Arial" w:hAnsi="Arial" w:cs="Arial"/>
          <w:sz w:val="24"/>
          <w:szCs w:val="24"/>
        </w:rPr>
      </w:pPr>
      <w:r w:rsidRPr="00BF0098">
        <w:rPr>
          <w:rFonts w:ascii="Arial" w:hAnsi="Arial" w:cs="Arial"/>
          <w:sz w:val="24"/>
          <w:szCs w:val="24"/>
        </w:rPr>
        <w:t xml:space="preserve">a) Métodos de </w:t>
      </w:r>
      <w:proofErr w:type="gramStart"/>
      <w:r w:rsidRPr="00BF0098">
        <w:rPr>
          <w:rFonts w:ascii="Arial" w:hAnsi="Arial" w:cs="Arial"/>
          <w:sz w:val="24"/>
          <w:szCs w:val="24"/>
        </w:rPr>
        <w:t>compensación :</w:t>
      </w:r>
      <w:proofErr w:type="gramEnd"/>
    </w:p>
    <w:p w:rsidR="003F55C3" w:rsidRPr="00BF0098" w:rsidRDefault="003F55C3" w:rsidP="00BF0098">
      <w:pPr>
        <w:pStyle w:val="NormalWeb"/>
        <w:numPr>
          <w:ilvl w:val="0"/>
          <w:numId w:val="28"/>
        </w:numPr>
        <w:spacing w:before="0" w:after="0" w:afterAutospacing="0" w:line="360" w:lineRule="auto"/>
        <w:ind w:left="0" w:firstLine="0"/>
        <w:jc w:val="both"/>
        <w:rPr>
          <w:rFonts w:ascii="Arial" w:hAnsi="Arial" w:cs="Arial"/>
          <w:sz w:val="24"/>
          <w:szCs w:val="24"/>
          <w:lang w:val="es-ES"/>
        </w:rPr>
      </w:pPr>
      <w:r w:rsidRPr="00BF0098">
        <w:rPr>
          <w:rFonts w:ascii="Arial" w:hAnsi="Arial" w:cs="Arial"/>
          <w:sz w:val="24"/>
          <w:szCs w:val="24"/>
          <w:lang w:val="es-ES"/>
        </w:rPr>
        <w:t xml:space="preserve">Gluconato de Calcio al 10%  de 0,5- 1ml EV lento </w:t>
      </w:r>
      <w:proofErr w:type="gramStart"/>
      <w:r w:rsidRPr="00BF0098">
        <w:rPr>
          <w:rFonts w:ascii="Arial" w:hAnsi="Arial" w:cs="Arial"/>
          <w:sz w:val="24"/>
          <w:szCs w:val="24"/>
          <w:lang w:val="es-ES"/>
        </w:rPr>
        <w:t>( efecto</w:t>
      </w:r>
      <w:proofErr w:type="gramEnd"/>
      <w:r w:rsidRPr="00BF0098">
        <w:rPr>
          <w:rFonts w:ascii="Arial" w:hAnsi="Arial" w:cs="Arial"/>
          <w:sz w:val="24"/>
          <w:szCs w:val="24"/>
          <w:lang w:val="es-ES"/>
        </w:rPr>
        <w:t xml:space="preserve"> en minutos).</w:t>
      </w:r>
    </w:p>
    <w:p w:rsidR="003F55C3" w:rsidRPr="00BF0098" w:rsidRDefault="003F55C3" w:rsidP="00BF0098">
      <w:pPr>
        <w:pStyle w:val="NormalWeb"/>
        <w:numPr>
          <w:ilvl w:val="0"/>
          <w:numId w:val="28"/>
        </w:numPr>
        <w:spacing w:before="0" w:after="0" w:afterAutospacing="0" w:line="360" w:lineRule="auto"/>
        <w:ind w:left="0" w:firstLine="0"/>
        <w:jc w:val="both"/>
        <w:rPr>
          <w:rFonts w:ascii="Arial" w:hAnsi="Arial" w:cs="Arial"/>
          <w:sz w:val="24"/>
          <w:szCs w:val="24"/>
          <w:lang w:val="es-ES"/>
        </w:rPr>
      </w:pPr>
      <w:r w:rsidRPr="00BF0098">
        <w:rPr>
          <w:rFonts w:ascii="Arial" w:hAnsi="Arial" w:cs="Arial"/>
          <w:sz w:val="24"/>
          <w:szCs w:val="24"/>
          <w:lang w:val="es-ES"/>
        </w:rPr>
        <w:t xml:space="preserve">Bicarbonato de sodio 1M: 1-2 ml/Kg EV a pasar entre 5 y 15 min </w:t>
      </w:r>
      <w:proofErr w:type="gramStart"/>
      <w:r w:rsidRPr="00BF0098">
        <w:rPr>
          <w:rFonts w:ascii="Arial" w:hAnsi="Arial" w:cs="Arial"/>
          <w:sz w:val="24"/>
          <w:szCs w:val="24"/>
          <w:lang w:val="es-ES"/>
        </w:rPr>
        <w:t>( efecto</w:t>
      </w:r>
      <w:proofErr w:type="gramEnd"/>
      <w:r w:rsidRPr="00BF0098">
        <w:rPr>
          <w:rFonts w:ascii="Arial" w:hAnsi="Arial" w:cs="Arial"/>
          <w:sz w:val="24"/>
          <w:szCs w:val="24"/>
          <w:lang w:val="es-ES"/>
        </w:rPr>
        <w:t xml:space="preserve"> a los 30 min).</w:t>
      </w:r>
    </w:p>
    <w:p w:rsidR="003F55C3" w:rsidRPr="00BF0098" w:rsidRDefault="003F55C3" w:rsidP="00BF0098">
      <w:pPr>
        <w:pStyle w:val="NormalWeb"/>
        <w:numPr>
          <w:ilvl w:val="0"/>
          <w:numId w:val="28"/>
        </w:numPr>
        <w:spacing w:before="0" w:after="0" w:afterAutospacing="0" w:line="360" w:lineRule="auto"/>
        <w:ind w:left="0" w:firstLine="0"/>
        <w:jc w:val="both"/>
        <w:rPr>
          <w:rFonts w:ascii="Arial" w:hAnsi="Arial" w:cs="Arial"/>
          <w:sz w:val="24"/>
          <w:szCs w:val="24"/>
          <w:lang w:val="es-ES"/>
        </w:rPr>
      </w:pPr>
      <w:r w:rsidRPr="00BF0098">
        <w:rPr>
          <w:rFonts w:ascii="Arial" w:hAnsi="Arial" w:cs="Arial"/>
          <w:sz w:val="24"/>
          <w:szCs w:val="24"/>
          <w:lang w:val="es-ES"/>
        </w:rPr>
        <w:t>Glucosa al 50%: 1-2 ml /Kg EV a pasar en 30 min.</w:t>
      </w:r>
    </w:p>
    <w:p w:rsidR="003F55C3" w:rsidRPr="00BF0098" w:rsidRDefault="003F55C3" w:rsidP="00BF0098">
      <w:pPr>
        <w:pStyle w:val="NormalWeb"/>
        <w:spacing w:before="0" w:after="0" w:afterAutospacing="0" w:line="360" w:lineRule="auto"/>
        <w:jc w:val="both"/>
        <w:rPr>
          <w:rFonts w:ascii="Arial" w:hAnsi="Arial" w:cs="Arial"/>
          <w:sz w:val="24"/>
          <w:szCs w:val="24"/>
          <w:lang w:val="es-ES"/>
        </w:rPr>
      </w:pPr>
      <w:r w:rsidRPr="00BF0098">
        <w:rPr>
          <w:rFonts w:ascii="Arial" w:hAnsi="Arial" w:cs="Arial"/>
          <w:sz w:val="24"/>
          <w:szCs w:val="24"/>
          <w:lang w:val="es-ES"/>
        </w:rPr>
        <w:t>b) Técnicas de eliminación:</w:t>
      </w:r>
    </w:p>
    <w:p w:rsidR="003F55C3" w:rsidRPr="00BF0098" w:rsidRDefault="003F55C3" w:rsidP="00BF0098">
      <w:pPr>
        <w:pStyle w:val="NormalWeb"/>
        <w:spacing w:before="0" w:after="0" w:afterAutospacing="0" w:line="360" w:lineRule="auto"/>
        <w:jc w:val="both"/>
        <w:rPr>
          <w:rFonts w:ascii="Arial" w:hAnsi="Arial" w:cs="Arial"/>
          <w:sz w:val="24"/>
          <w:szCs w:val="24"/>
          <w:lang w:val="es-ES"/>
        </w:rPr>
      </w:pPr>
      <w:r w:rsidRPr="00BF0098">
        <w:rPr>
          <w:rFonts w:ascii="Arial" w:hAnsi="Arial" w:cs="Arial"/>
          <w:sz w:val="24"/>
          <w:szCs w:val="24"/>
          <w:lang w:val="es-ES"/>
        </w:rPr>
        <w:t>Resinas de intercambio iónico</w:t>
      </w:r>
    </w:p>
    <w:p w:rsidR="003F55C3" w:rsidRPr="00BF0098" w:rsidRDefault="003F55C3" w:rsidP="00BF0098">
      <w:pPr>
        <w:pStyle w:val="NormalWeb"/>
        <w:spacing w:before="0" w:after="0" w:afterAutospacing="0" w:line="360" w:lineRule="auto"/>
        <w:jc w:val="both"/>
        <w:rPr>
          <w:rFonts w:ascii="Arial" w:hAnsi="Arial" w:cs="Arial"/>
          <w:sz w:val="24"/>
          <w:szCs w:val="24"/>
          <w:lang w:val="es-ES"/>
        </w:rPr>
      </w:pPr>
      <w:r w:rsidRPr="00BF0098">
        <w:rPr>
          <w:rFonts w:ascii="Arial" w:hAnsi="Arial" w:cs="Arial"/>
          <w:sz w:val="24"/>
          <w:szCs w:val="24"/>
          <w:lang w:val="es-ES"/>
        </w:rPr>
        <w:t>Diálisis peritoneal sin potasio</w:t>
      </w:r>
    </w:p>
    <w:p w:rsidR="003F55C3" w:rsidRPr="00BF0098" w:rsidRDefault="003F55C3" w:rsidP="00BF0098">
      <w:pPr>
        <w:pStyle w:val="NormalWeb"/>
        <w:spacing w:before="0" w:after="0" w:afterAutospacing="0" w:line="360" w:lineRule="auto"/>
        <w:jc w:val="both"/>
        <w:rPr>
          <w:rFonts w:ascii="Arial" w:hAnsi="Arial" w:cs="Arial"/>
          <w:sz w:val="24"/>
          <w:szCs w:val="24"/>
          <w:lang w:val="es-ES"/>
        </w:rPr>
      </w:pPr>
      <w:r w:rsidRPr="00BF0098">
        <w:rPr>
          <w:rFonts w:ascii="Arial" w:hAnsi="Arial" w:cs="Arial"/>
          <w:sz w:val="24"/>
          <w:szCs w:val="24"/>
          <w:lang w:val="es-ES"/>
        </w:rPr>
        <w:lastRenderedPageBreak/>
        <w:t xml:space="preserve">Hemodiálisis </w:t>
      </w:r>
    </w:p>
    <w:p w:rsidR="003F55C3" w:rsidRPr="00BF0098" w:rsidRDefault="003F55C3" w:rsidP="00BF0098">
      <w:pPr>
        <w:pStyle w:val="NormalWeb"/>
        <w:spacing w:before="0" w:after="0" w:afterAutospacing="0" w:line="360" w:lineRule="auto"/>
        <w:jc w:val="both"/>
        <w:rPr>
          <w:rFonts w:ascii="Arial" w:hAnsi="Arial" w:cs="Arial"/>
          <w:sz w:val="24"/>
          <w:szCs w:val="24"/>
          <w:lang w:val="es-ES"/>
        </w:rPr>
      </w:pPr>
      <w:r w:rsidRPr="00BF0098">
        <w:rPr>
          <w:rFonts w:ascii="Arial" w:hAnsi="Arial" w:cs="Arial"/>
          <w:sz w:val="24"/>
          <w:szCs w:val="24"/>
          <w:lang w:val="es-ES"/>
        </w:rPr>
        <w:t>Diuréticos</w:t>
      </w:r>
    </w:p>
    <w:p w:rsidR="00831C48" w:rsidRPr="00BF0098" w:rsidRDefault="003F55C3" w:rsidP="00BF0098">
      <w:pPr>
        <w:spacing w:line="360" w:lineRule="auto"/>
        <w:jc w:val="both"/>
        <w:rPr>
          <w:rFonts w:ascii="Arial" w:hAnsi="Arial" w:cs="Arial"/>
          <w:b/>
          <w:sz w:val="24"/>
          <w:szCs w:val="24"/>
        </w:rPr>
      </w:pPr>
      <w:r w:rsidRPr="00BF0098">
        <w:rPr>
          <w:rFonts w:ascii="Arial" w:hAnsi="Arial" w:cs="Arial"/>
          <w:b/>
          <w:sz w:val="24"/>
          <w:szCs w:val="24"/>
        </w:rPr>
        <w:t>CALCIO</w:t>
      </w:r>
    </w:p>
    <w:p w:rsidR="003F55C3" w:rsidRPr="00BF0098" w:rsidRDefault="003F55C3" w:rsidP="00BF0098">
      <w:pPr>
        <w:spacing w:line="360" w:lineRule="auto"/>
        <w:jc w:val="both"/>
        <w:rPr>
          <w:rFonts w:ascii="Arial" w:hAnsi="Arial" w:cs="Arial"/>
          <w:b/>
          <w:sz w:val="24"/>
          <w:szCs w:val="24"/>
        </w:rPr>
      </w:pPr>
      <w:r w:rsidRPr="00BF0098">
        <w:rPr>
          <w:rFonts w:ascii="Arial" w:hAnsi="Arial" w:cs="Arial"/>
          <w:sz w:val="24"/>
          <w:szCs w:val="24"/>
        </w:rPr>
        <w:t>El calcio es el catión divalente más importante del organismo, requerido para la mayoría de los procesos biológicos: conducción neuronal, transmisión sináptica, secreción hormonal, división mitótica, automatismo cardíaco, mantenimiento del tono muscular vascular y de la vía aérea y en la excitación-contracción del músculo estriado. El calcio es además un importante mensajero intracelular requerido en los procesos celulares que precisan movimiento y para el adecuado funcionamiento enzimático.La concentración de calcio sérico es mantenida gracias a los efectos combinados de la hormona paratiroidea y de la vitamina D. El calcio sérico total refleja la suma del calcio iónico (40 al 50%), del calcio no ionizado que forma complejos con el bicarbonato, fosfato y citrato (</w:t>
      </w:r>
      <w:smartTag w:uri="urn:schemas-microsoft-com:office:smarttags" w:element="metricconverter">
        <w:smartTagPr>
          <w:attr w:name="ProductID" w:val="10 a"/>
        </w:smartTagPr>
        <w:r w:rsidRPr="00BF0098">
          <w:rPr>
            <w:rFonts w:ascii="Arial" w:hAnsi="Arial" w:cs="Arial"/>
            <w:sz w:val="24"/>
            <w:szCs w:val="24"/>
          </w:rPr>
          <w:t>10 a</w:t>
        </w:r>
      </w:smartTag>
      <w:r w:rsidRPr="00BF0098">
        <w:rPr>
          <w:rFonts w:ascii="Arial" w:hAnsi="Arial" w:cs="Arial"/>
          <w:sz w:val="24"/>
          <w:szCs w:val="24"/>
        </w:rPr>
        <w:t xml:space="preserve"> 15%) y del calcio unido a las proteínas (alrededor del 40%). La forma ionizada es la fracción fisiológicamente activa y la homeostáticamente regulad y por tanto, es la que debe ser determinada para establecer el diagnóstico de hipocalcemia o hipercalcemia.Tanto el incremento del pH como del nivel de ácidos grasos libres en plasma aumentan la unión del calcio a las proteínas, pero la magnitud de esta unión varía con la severidad de la enfermedad y con el nivel de albúmina y debe ser medida utilizando un electrodo selectivo.El mantenimiento de las concentraciones de calcio en el líquido extracelular depende de la regulación integral de su flujo a través del tracto digestivo, riñón y del hueso:El 70% de calcio se elimina por las heces, otra parte se encuentra en las secreciones intestinales y el resto en la orina.El nivel sérico aparece entre 9-11 mg/dl y el 60% se encuentra en forma ionizada.</w:t>
      </w:r>
    </w:p>
    <w:p w:rsidR="003F55C3" w:rsidRPr="00BF0098" w:rsidRDefault="003F55C3" w:rsidP="00BF0098">
      <w:pPr>
        <w:pStyle w:val="Prrafodelista"/>
        <w:spacing w:line="360" w:lineRule="auto"/>
        <w:ind w:left="0"/>
        <w:jc w:val="both"/>
        <w:rPr>
          <w:rFonts w:ascii="Arial" w:hAnsi="Arial" w:cs="Arial"/>
          <w:b/>
          <w:sz w:val="24"/>
          <w:szCs w:val="24"/>
        </w:rPr>
      </w:pPr>
      <w:r w:rsidRPr="00BF0098">
        <w:rPr>
          <w:rFonts w:ascii="Arial" w:hAnsi="Arial" w:cs="Arial"/>
          <w:b/>
          <w:sz w:val="24"/>
          <w:szCs w:val="24"/>
        </w:rPr>
        <w:t>Hipocalcemia</w:t>
      </w:r>
    </w:p>
    <w:p w:rsidR="003F55C3" w:rsidRPr="00BF0098" w:rsidRDefault="003F55C3" w:rsidP="00BF0098">
      <w:pPr>
        <w:pStyle w:val="Prrafodelista"/>
        <w:spacing w:line="360" w:lineRule="auto"/>
        <w:ind w:left="0"/>
        <w:jc w:val="both"/>
        <w:rPr>
          <w:rFonts w:ascii="Arial" w:hAnsi="Arial" w:cs="Arial"/>
          <w:sz w:val="24"/>
          <w:szCs w:val="24"/>
        </w:rPr>
      </w:pPr>
      <w:r w:rsidRPr="00BF0098">
        <w:rPr>
          <w:rFonts w:ascii="Arial" w:hAnsi="Arial" w:cs="Arial"/>
          <w:sz w:val="24"/>
          <w:szCs w:val="24"/>
        </w:rPr>
        <w:t>Esta deficiencia aparece cuando los niveles séricos de calcio total es menor de 8,5 mg% (2,12 mmol/L o 4,25 mEq/L). La hipocalcemia iónica viene definida por una concentración de calcio iónico inferior a 4,1 mg/dl (1,025 mmol/L o 2,05 mEq/L.</w:t>
      </w:r>
    </w:p>
    <w:p w:rsidR="003F55C3" w:rsidRPr="00BF0098" w:rsidRDefault="003F55C3" w:rsidP="00BF0098">
      <w:pPr>
        <w:pStyle w:val="Prrafodelista"/>
        <w:spacing w:line="360" w:lineRule="auto"/>
        <w:ind w:left="0"/>
        <w:rPr>
          <w:rFonts w:ascii="Arial" w:hAnsi="Arial" w:cs="Arial"/>
          <w:b/>
          <w:sz w:val="24"/>
          <w:szCs w:val="24"/>
        </w:rPr>
      </w:pPr>
      <w:r w:rsidRPr="00BF0098">
        <w:rPr>
          <w:rFonts w:ascii="Arial" w:hAnsi="Arial" w:cs="Arial"/>
          <w:b/>
          <w:sz w:val="24"/>
          <w:szCs w:val="24"/>
        </w:rPr>
        <w:t>Etiologia</w:t>
      </w:r>
    </w:p>
    <w:p w:rsidR="003F55C3" w:rsidRPr="00BF0098" w:rsidRDefault="003F55C3" w:rsidP="00BF0098">
      <w:pPr>
        <w:pStyle w:val="Prrafodelista"/>
        <w:spacing w:line="360" w:lineRule="auto"/>
        <w:ind w:left="0"/>
        <w:rPr>
          <w:rFonts w:ascii="Arial" w:hAnsi="Arial" w:cs="Arial"/>
          <w:sz w:val="24"/>
          <w:szCs w:val="24"/>
        </w:rPr>
      </w:pPr>
      <w:r w:rsidRPr="00BF0098">
        <w:rPr>
          <w:rFonts w:ascii="Arial" w:hAnsi="Arial" w:cs="Arial"/>
          <w:sz w:val="24"/>
          <w:szCs w:val="24"/>
        </w:rPr>
        <w:lastRenderedPageBreak/>
        <w:t>La hipocalcemia aparece cuando la velocidad con la que el calcio es quelado o desaparece del espacio vascular es superior a la velocidad con la que los mecanismos homeostáticos lo reemplazan.</w:t>
      </w:r>
    </w:p>
    <w:p w:rsidR="003F55C3" w:rsidRPr="00BF0098" w:rsidRDefault="003F55C3" w:rsidP="00BF0098">
      <w:pPr>
        <w:pStyle w:val="Prrafodelista"/>
        <w:spacing w:after="0" w:line="360" w:lineRule="auto"/>
        <w:ind w:left="0"/>
        <w:rPr>
          <w:rFonts w:ascii="Arial" w:hAnsi="Arial" w:cs="Arial"/>
          <w:sz w:val="24"/>
          <w:szCs w:val="24"/>
        </w:rPr>
      </w:pPr>
      <w:r w:rsidRPr="00BF0098">
        <w:rPr>
          <w:rFonts w:ascii="Arial" w:hAnsi="Arial" w:cs="Arial"/>
          <w:b/>
          <w:sz w:val="24"/>
          <w:szCs w:val="24"/>
        </w:rPr>
        <w:t>Las relacionadas con la etapa neonatal</w:t>
      </w:r>
      <w:r w:rsidRPr="00BF0098">
        <w:rPr>
          <w:rFonts w:ascii="Arial" w:hAnsi="Arial" w:cs="Arial"/>
          <w:sz w:val="24"/>
          <w:szCs w:val="24"/>
        </w:rPr>
        <w:t>: Su frecuencia se ha calculado que varía entre el 35-50% en neonatos prematuros, por lo que se puede observar este cuadro durante las primeras 24 horas de vida en recién nacidos, producto de embarazos y partos complicados en los que existe además, un elemento común de bajo peso, lo que se relaciona con el Hipoparatiroidismo transitorio que se observa en el recién nacido y que está directamente relacionado con la edad gestacional y el bajo peso al nacer, también se invocan otras teorías de especial  importancia: los niveles elevados de calcitonina encontrados en prematuros, falta de respuesta del órgano terminal a la hormona paratiroidea, anormalidades en el metabolismo de la vitamina D, hipomagnesemia y disminución de la absorción intestinal del calcio.</w:t>
      </w:r>
    </w:p>
    <w:p w:rsidR="003F55C3" w:rsidRPr="00BF0098" w:rsidRDefault="003F55C3" w:rsidP="00BF0098">
      <w:pPr>
        <w:pStyle w:val="Prrafodelista"/>
        <w:spacing w:line="360" w:lineRule="auto"/>
        <w:ind w:left="0"/>
        <w:rPr>
          <w:rFonts w:ascii="Arial" w:hAnsi="Arial" w:cs="Arial"/>
          <w:sz w:val="24"/>
          <w:szCs w:val="24"/>
        </w:rPr>
      </w:pPr>
      <w:r w:rsidRPr="00BF0098">
        <w:rPr>
          <w:rFonts w:ascii="Arial" w:hAnsi="Arial" w:cs="Arial"/>
          <w:sz w:val="24"/>
          <w:szCs w:val="24"/>
        </w:rPr>
        <w:t>Cuando la hipocalcemia se presenta después del quinto día, generalmente se asocia con la ingestión de alimentos que contienen una relación calcio/fósforo disminuida relacionada con la leche materna, con la leche de vaca, la de soya y los cereales.</w:t>
      </w:r>
    </w:p>
    <w:p w:rsidR="003F55C3" w:rsidRPr="00BF0098" w:rsidRDefault="003F55C3" w:rsidP="00BF0098">
      <w:pPr>
        <w:pStyle w:val="Prrafodelista"/>
        <w:numPr>
          <w:ilvl w:val="0"/>
          <w:numId w:val="7"/>
        </w:numPr>
        <w:spacing w:after="0" w:line="360" w:lineRule="auto"/>
        <w:ind w:left="0"/>
        <w:rPr>
          <w:rFonts w:ascii="Arial" w:hAnsi="Arial" w:cs="Arial"/>
          <w:sz w:val="24"/>
          <w:szCs w:val="24"/>
        </w:rPr>
      </w:pPr>
      <w:r w:rsidRPr="00BF0098">
        <w:rPr>
          <w:rFonts w:ascii="Arial" w:hAnsi="Arial" w:cs="Arial"/>
          <w:b/>
          <w:sz w:val="24"/>
          <w:szCs w:val="24"/>
        </w:rPr>
        <w:t>Hipoparatiroidismo.</w:t>
      </w:r>
      <w:r w:rsidRPr="00BF0098">
        <w:rPr>
          <w:rFonts w:ascii="Arial" w:hAnsi="Arial" w:cs="Arial"/>
          <w:sz w:val="24"/>
          <w:szCs w:val="24"/>
        </w:rPr>
        <w:t xml:space="preserve"> Se puede manifestar después del nacimiento debido a la mayor inhibición de la glándula paratiroides por algunos días y se le ha denominado paratiroidismo idiopático transitorio. Este cuadro de hipoparatiroidismo puede afectar varios miembros de una misma familia y asociado fundamentalmente con mujeres. También se asocia como parte del síndrome de Di George caracterizado por hipoplasia del timo, alteraciones inmunológicas, hipoplasia tiroidea, defectos oculares, cerebrales y cardiovasculares.</w:t>
      </w:r>
    </w:p>
    <w:p w:rsidR="003F55C3" w:rsidRPr="00BF0098" w:rsidRDefault="003F55C3" w:rsidP="00BF0098">
      <w:pPr>
        <w:pStyle w:val="Prrafodelista"/>
        <w:spacing w:line="360" w:lineRule="auto"/>
        <w:ind w:left="0"/>
        <w:rPr>
          <w:rFonts w:ascii="Arial" w:hAnsi="Arial" w:cs="Arial"/>
          <w:sz w:val="24"/>
          <w:szCs w:val="24"/>
        </w:rPr>
      </w:pPr>
      <w:r w:rsidRPr="00BF0098">
        <w:rPr>
          <w:rFonts w:ascii="Arial" w:hAnsi="Arial" w:cs="Arial"/>
          <w:sz w:val="24"/>
          <w:szCs w:val="24"/>
        </w:rPr>
        <w:t>En edades mayores es frecuente encontrar el hipoparatiroidismo por intervenciones quirúrgicas, radiaciones y metástasis.</w:t>
      </w:r>
    </w:p>
    <w:p w:rsidR="003F55C3" w:rsidRPr="00BF0098" w:rsidRDefault="003F55C3" w:rsidP="00BF0098">
      <w:pPr>
        <w:pStyle w:val="Prrafodelista"/>
        <w:numPr>
          <w:ilvl w:val="0"/>
          <w:numId w:val="7"/>
        </w:numPr>
        <w:spacing w:after="0" w:line="360" w:lineRule="auto"/>
        <w:ind w:left="0"/>
        <w:rPr>
          <w:rFonts w:ascii="Arial" w:hAnsi="Arial" w:cs="Arial"/>
          <w:sz w:val="24"/>
          <w:szCs w:val="24"/>
        </w:rPr>
      </w:pPr>
      <w:r w:rsidRPr="00BF0098">
        <w:rPr>
          <w:rFonts w:ascii="Arial" w:hAnsi="Arial" w:cs="Arial"/>
          <w:b/>
          <w:sz w:val="24"/>
          <w:szCs w:val="24"/>
        </w:rPr>
        <w:t>Raquitismo:</w:t>
      </w:r>
      <w:r w:rsidRPr="00BF0098">
        <w:rPr>
          <w:rFonts w:ascii="Arial" w:hAnsi="Arial" w:cs="Arial"/>
          <w:sz w:val="24"/>
          <w:szCs w:val="24"/>
        </w:rPr>
        <w:t xml:space="preserve"> Esta deficiencia se debe a la carencia, alteraciones metabólicas o resistencia periférica a la vitamina D y está caracterizada por la presencia de matriz ósea no calcificada en cantidades anormalmente altas como consecuencia de una inadecuada disponibilidad de los iones calcio y fósforo, para una correcta calcificación esquelética.</w:t>
      </w:r>
    </w:p>
    <w:p w:rsidR="003F55C3" w:rsidRPr="00BF0098" w:rsidRDefault="003F55C3" w:rsidP="00BF0098">
      <w:pPr>
        <w:pStyle w:val="Prrafodelista"/>
        <w:numPr>
          <w:ilvl w:val="0"/>
          <w:numId w:val="7"/>
        </w:numPr>
        <w:spacing w:after="0" w:line="360" w:lineRule="auto"/>
        <w:ind w:left="0"/>
        <w:rPr>
          <w:rFonts w:ascii="Arial" w:hAnsi="Arial" w:cs="Arial"/>
          <w:sz w:val="24"/>
          <w:szCs w:val="24"/>
        </w:rPr>
      </w:pPr>
      <w:r w:rsidRPr="00BF0098">
        <w:rPr>
          <w:rFonts w:ascii="Arial" w:hAnsi="Arial" w:cs="Arial"/>
          <w:b/>
          <w:sz w:val="24"/>
          <w:szCs w:val="24"/>
        </w:rPr>
        <w:lastRenderedPageBreak/>
        <w:t>Osteodistrofia renal</w:t>
      </w:r>
      <w:r w:rsidRPr="00BF0098">
        <w:rPr>
          <w:rFonts w:ascii="Arial" w:hAnsi="Arial" w:cs="Arial"/>
          <w:sz w:val="24"/>
          <w:szCs w:val="24"/>
        </w:rPr>
        <w:t>:  En el paciente con Insuficiencia Renal Crónica, a medida que el tejido funcional disminuye, los niveles de fósforo se elevan ocurriendo disminución de la enzima 1 alfa hidroxila, lo que disminuye la producción de la 1,25 dihidroxivitamina D3, la absorción intestinal de calcio mediada por este metabolito desciende, con hipocalcemia e hipoparatiroidismo como resultado, también ocurre desmineralización ósea con elementos propios de Raquitismo e Hiperparatiroidismo combinados.</w:t>
      </w:r>
    </w:p>
    <w:p w:rsidR="003F55C3" w:rsidRPr="00BF0098" w:rsidRDefault="003F55C3" w:rsidP="00BF0098">
      <w:pPr>
        <w:pStyle w:val="Prrafodelista"/>
        <w:spacing w:line="360" w:lineRule="auto"/>
        <w:ind w:left="0"/>
        <w:rPr>
          <w:rFonts w:ascii="Arial" w:hAnsi="Arial" w:cs="Arial"/>
          <w:b/>
          <w:sz w:val="24"/>
          <w:szCs w:val="24"/>
        </w:rPr>
      </w:pPr>
      <w:r w:rsidRPr="00BF0098">
        <w:rPr>
          <w:rFonts w:ascii="Arial" w:hAnsi="Arial" w:cs="Arial"/>
          <w:b/>
          <w:sz w:val="24"/>
          <w:szCs w:val="24"/>
        </w:rPr>
        <w:t>Cuadro clínico</w:t>
      </w:r>
    </w:p>
    <w:p w:rsidR="003F55C3" w:rsidRPr="00BF0098" w:rsidRDefault="003F55C3" w:rsidP="00BF0098">
      <w:pPr>
        <w:pStyle w:val="Prrafodelista"/>
        <w:spacing w:line="360" w:lineRule="auto"/>
        <w:ind w:left="0"/>
        <w:rPr>
          <w:rFonts w:ascii="Arial" w:hAnsi="Arial" w:cs="Arial"/>
          <w:b/>
          <w:sz w:val="24"/>
          <w:szCs w:val="24"/>
        </w:rPr>
      </w:pPr>
      <w:r w:rsidRPr="00BF0098">
        <w:rPr>
          <w:rFonts w:ascii="Arial" w:hAnsi="Arial" w:cs="Arial"/>
          <w:sz w:val="24"/>
          <w:szCs w:val="24"/>
        </w:rPr>
        <w:t xml:space="preserve">Las manifestaciones clínicas de la hipocalcemia aparecen con un calcio iónico menor de 0,8 mmol/L, y están generalmente relacionadas con la irritabilidad neuronal </w:t>
      </w:r>
    </w:p>
    <w:p w:rsidR="003F55C3" w:rsidRPr="00BF0098" w:rsidRDefault="003F55C3" w:rsidP="00BF0098">
      <w:pPr>
        <w:pStyle w:val="Prrafodelista"/>
        <w:spacing w:line="360" w:lineRule="auto"/>
        <w:ind w:left="0"/>
        <w:rPr>
          <w:rFonts w:ascii="Arial" w:hAnsi="Arial" w:cs="Arial"/>
          <w:sz w:val="24"/>
          <w:szCs w:val="24"/>
        </w:rPr>
      </w:pPr>
      <w:r w:rsidRPr="00BF0098">
        <w:rPr>
          <w:rFonts w:ascii="Arial" w:hAnsi="Arial" w:cs="Arial"/>
          <w:sz w:val="24"/>
          <w:szCs w:val="24"/>
        </w:rPr>
        <w:t>Las manifestaciones de hipocalcemia aguda es un cuadro grave que se acompaña con tetania, aunque puede existir tetania sin hipocalcemia por otras alteraciones del magnesio y el hidrógeno.</w:t>
      </w:r>
    </w:p>
    <w:p w:rsidR="003F55C3" w:rsidRPr="00BF0098" w:rsidRDefault="003F55C3" w:rsidP="00BF0098">
      <w:pPr>
        <w:pStyle w:val="Prrafodelista"/>
        <w:numPr>
          <w:ilvl w:val="0"/>
          <w:numId w:val="8"/>
        </w:numPr>
        <w:spacing w:after="0" w:line="360" w:lineRule="auto"/>
        <w:ind w:left="0"/>
        <w:rPr>
          <w:rFonts w:ascii="Arial" w:hAnsi="Arial" w:cs="Arial"/>
          <w:sz w:val="24"/>
          <w:szCs w:val="24"/>
        </w:rPr>
      </w:pPr>
      <w:r w:rsidRPr="00BF0098">
        <w:rPr>
          <w:rFonts w:ascii="Arial" w:hAnsi="Arial" w:cs="Arial"/>
          <w:sz w:val="24"/>
          <w:szCs w:val="24"/>
        </w:rPr>
        <w:t>Alteraciones cardiovasculares (más frecuentemente observadas en el paciente críticamente enfermo): Insuficiencia cardíaca, arritmias (bradicardia y fibrilación ventricular), hipotensión, insensibilidad a las drogas (digitálicos, catecolaminas), alteraciones electrocardiográficas (prolongación del segmento QT y ST e inversión de la onda T).</w:t>
      </w:r>
    </w:p>
    <w:p w:rsidR="003F55C3" w:rsidRPr="00BF0098" w:rsidRDefault="003F55C3" w:rsidP="00BF0098">
      <w:pPr>
        <w:pStyle w:val="Prrafodelista"/>
        <w:numPr>
          <w:ilvl w:val="0"/>
          <w:numId w:val="8"/>
        </w:numPr>
        <w:spacing w:after="0" w:line="360" w:lineRule="auto"/>
        <w:ind w:left="0"/>
        <w:rPr>
          <w:rFonts w:ascii="Arial" w:hAnsi="Arial" w:cs="Arial"/>
          <w:sz w:val="24"/>
          <w:szCs w:val="24"/>
        </w:rPr>
      </w:pPr>
      <w:r w:rsidRPr="00BF0098">
        <w:rPr>
          <w:rFonts w:ascii="Arial" w:hAnsi="Arial" w:cs="Arial"/>
          <w:sz w:val="24"/>
          <w:szCs w:val="24"/>
        </w:rPr>
        <w:t>Alteraciones neuromusculares: Tetania, signo de Chvostek, signo de Trousseau, debilidad, convulsiones.</w:t>
      </w:r>
    </w:p>
    <w:p w:rsidR="003F55C3" w:rsidRPr="00BF0098" w:rsidRDefault="003F55C3" w:rsidP="00BF0098">
      <w:pPr>
        <w:pStyle w:val="Prrafodelista"/>
        <w:numPr>
          <w:ilvl w:val="0"/>
          <w:numId w:val="8"/>
        </w:numPr>
        <w:spacing w:after="0" w:line="360" w:lineRule="auto"/>
        <w:ind w:left="0"/>
        <w:rPr>
          <w:rFonts w:ascii="Arial" w:hAnsi="Arial" w:cs="Arial"/>
          <w:sz w:val="24"/>
          <w:szCs w:val="24"/>
        </w:rPr>
      </w:pPr>
      <w:r w:rsidRPr="00BF0098">
        <w:rPr>
          <w:rFonts w:ascii="Arial" w:hAnsi="Arial" w:cs="Arial"/>
          <w:sz w:val="24"/>
          <w:szCs w:val="24"/>
        </w:rPr>
        <w:t>Alteraciones respiratorias: Apnea, broncoespasmo, laringoespasmo.</w:t>
      </w:r>
    </w:p>
    <w:p w:rsidR="003F55C3" w:rsidRPr="00BF0098" w:rsidRDefault="003F55C3" w:rsidP="00BF0098">
      <w:pPr>
        <w:pStyle w:val="Prrafodelista"/>
        <w:numPr>
          <w:ilvl w:val="0"/>
          <w:numId w:val="8"/>
        </w:numPr>
        <w:spacing w:after="0" w:line="360" w:lineRule="auto"/>
        <w:ind w:left="0"/>
        <w:rPr>
          <w:rFonts w:ascii="Arial" w:hAnsi="Arial" w:cs="Arial"/>
          <w:sz w:val="24"/>
          <w:szCs w:val="24"/>
        </w:rPr>
      </w:pPr>
      <w:r w:rsidRPr="00BF0098">
        <w:rPr>
          <w:rFonts w:ascii="Arial" w:hAnsi="Arial" w:cs="Arial"/>
          <w:sz w:val="24"/>
          <w:szCs w:val="24"/>
        </w:rPr>
        <w:t>Alteraciones psiquiátricas: Ansiedad, depresión, demencia, irritabilidad, confusión, psicosis.</w:t>
      </w:r>
    </w:p>
    <w:p w:rsidR="003F55C3" w:rsidRPr="00BF0098" w:rsidRDefault="003F55C3" w:rsidP="00BF0098">
      <w:pPr>
        <w:pStyle w:val="Prrafodelista"/>
        <w:spacing w:after="0" w:line="360" w:lineRule="auto"/>
        <w:ind w:left="0"/>
        <w:rPr>
          <w:rFonts w:ascii="Arial" w:hAnsi="Arial" w:cs="Arial"/>
          <w:sz w:val="24"/>
          <w:szCs w:val="24"/>
        </w:rPr>
      </w:pPr>
      <w:r w:rsidRPr="00BF0098">
        <w:rPr>
          <w:rFonts w:ascii="Arial" w:hAnsi="Arial" w:cs="Arial"/>
          <w:b/>
          <w:sz w:val="24"/>
          <w:szCs w:val="24"/>
        </w:rPr>
        <w:t>Tratamiento</w:t>
      </w:r>
    </w:p>
    <w:p w:rsidR="003F55C3" w:rsidRPr="00BF0098" w:rsidRDefault="003F55C3" w:rsidP="00BF0098">
      <w:pPr>
        <w:pStyle w:val="Prrafodelista"/>
        <w:spacing w:line="360" w:lineRule="auto"/>
        <w:ind w:left="0"/>
        <w:rPr>
          <w:rFonts w:ascii="Arial" w:hAnsi="Arial" w:cs="Arial"/>
          <w:sz w:val="24"/>
          <w:szCs w:val="24"/>
        </w:rPr>
      </w:pPr>
      <w:r w:rsidRPr="00BF0098">
        <w:rPr>
          <w:rFonts w:ascii="Arial" w:hAnsi="Arial" w:cs="Arial"/>
          <w:sz w:val="24"/>
          <w:szCs w:val="24"/>
        </w:rPr>
        <w:t>El diagnóstico y tratamiento de la hipocalcemia requiere la determinación de los niveles de calcio iónico, fósforo, magnesio, potasio y creatinina, y la monitorización electrocardiográfica y del estado hemodinámico. En ocasiones puede ser necesaria la determinación de PTH, vitamina D y sus metabolitos.</w:t>
      </w:r>
    </w:p>
    <w:p w:rsidR="003F55C3" w:rsidRPr="00BF0098" w:rsidRDefault="003F55C3" w:rsidP="00BF0098">
      <w:pPr>
        <w:pStyle w:val="Prrafodelista"/>
        <w:spacing w:line="360" w:lineRule="auto"/>
        <w:ind w:left="0"/>
        <w:rPr>
          <w:rFonts w:ascii="Arial" w:hAnsi="Arial" w:cs="Arial"/>
          <w:sz w:val="24"/>
          <w:szCs w:val="24"/>
        </w:rPr>
      </w:pPr>
      <w:r w:rsidRPr="00BF0098">
        <w:rPr>
          <w:rFonts w:ascii="Arial" w:hAnsi="Arial" w:cs="Arial"/>
          <w:sz w:val="24"/>
          <w:szCs w:val="24"/>
        </w:rPr>
        <w:t xml:space="preserve">Los conocimientos actuales aconsejan la administración oral o intravenosa de calcio lentamente y en perfusión continua. Si son necesarios, los bolos deben ser pequeños y administrados por vías seguras y de elevado flujo. El calcio es irritante para la vena por lo que debe ser diluido. Las sales de calcio no se </w:t>
      </w:r>
      <w:r w:rsidRPr="00BF0098">
        <w:rPr>
          <w:rFonts w:ascii="Arial" w:hAnsi="Arial" w:cs="Arial"/>
          <w:sz w:val="24"/>
          <w:szCs w:val="24"/>
        </w:rPr>
        <w:lastRenderedPageBreak/>
        <w:t>deben administrar conjuntamente con bicarbonato pues precipitan. No existe consenso sobre las ventajas del gluconato cálcico o del cloruro cálcico en el tratamiento de la hipocalcemia.</w:t>
      </w:r>
    </w:p>
    <w:p w:rsidR="003F55C3" w:rsidRPr="00BF0098" w:rsidRDefault="003F55C3" w:rsidP="00BF0098">
      <w:pPr>
        <w:pStyle w:val="Prrafodelista"/>
        <w:spacing w:line="360" w:lineRule="auto"/>
        <w:ind w:left="0"/>
        <w:rPr>
          <w:rFonts w:ascii="Arial" w:hAnsi="Arial" w:cs="Arial"/>
          <w:sz w:val="24"/>
          <w:szCs w:val="24"/>
        </w:rPr>
      </w:pPr>
      <w:r w:rsidRPr="00BF0098">
        <w:rPr>
          <w:rFonts w:ascii="Arial" w:hAnsi="Arial" w:cs="Arial"/>
          <w:sz w:val="24"/>
          <w:szCs w:val="24"/>
        </w:rPr>
        <w:t>La hipocalcemia aguda y sintomática, o niveles de calcio iónico inferiores a 0,75 mmol/L, es una urgencia médica que requiere tratamiento intravenoso con calcio.</w:t>
      </w:r>
    </w:p>
    <w:p w:rsidR="003F55C3" w:rsidRPr="00BF0098" w:rsidRDefault="003F55C3" w:rsidP="00BF0098">
      <w:pPr>
        <w:pStyle w:val="Prrafodelista"/>
        <w:spacing w:line="360" w:lineRule="auto"/>
        <w:ind w:left="0"/>
        <w:rPr>
          <w:rFonts w:ascii="Arial" w:hAnsi="Arial" w:cs="Arial"/>
          <w:sz w:val="24"/>
          <w:szCs w:val="24"/>
        </w:rPr>
      </w:pPr>
      <w:r w:rsidRPr="00BF0098">
        <w:rPr>
          <w:rFonts w:ascii="Arial" w:hAnsi="Arial" w:cs="Arial"/>
          <w:sz w:val="24"/>
          <w:szCs w:val="24"/>
        </w:rPr>
        <w:t xml:space="preserve">Los requerimientos diarios de calcio por vía endovenosa son relativamente constantes, independientemente de la edad del paciente, y oscilan entre 100 y 300 mg por día. En los adolescentes y especialmente en los varones pueden requerirse aportes de 400mg por día o superiores. Las necesidades orals diarias de calcio oscilan entre los 500mg para los lactantes y los 1200mg para los adolescentes. En los pacientes hipocalcémicos, una vez normalizados los niveles de calcio, se administrarán de </w:t>
      </w:r>
      <w:smartTag w:uri="urn:schemas-microsoft-com:office:smarttags" w:element="metricconverter">
        <w:smartTagPr>
          <w:attr w:name="ProductID" w:val="1 a"/>
        </w:smartTagPr>
        <w:r w:rsidRPr="00BF0098">
          <w:rPr>
            <w:rFonts w:ascii="Arial" w:hAnsi="Arial" w:cs="Arial"/>
            <w:sz w:val="24"/>
            <w:szCs w:val="24"/>
          </w:rPr>
          <w:t>1 a</w:t>
        </w:r>
      </w:smartTag>
      <w:r w:rsidRPr="00BF0098">
        <w:rPr>
          <w:rFonts w:ascii="Arial" w:hAnsi="Arial" w:cs="Arial"/>
          <w:sz w:val="24"/>
          <w:szCs w:val="24"/>
        </w:rPr>
        <w:t xml:space="preserve"> 4gr de calcio por vía enteral, en varias dosis.</w:t>
      </w:r>
    </w:p>
    <w:p w:rsidR="003F55C3" w:rsidRPr="00BF0098" w:rsidRDefault="003F55C3" w:rsidP="00BF0098">
      <w:pPr>
        <w:pStyle w:val="Prrafodelista"/>
        <w:spacing w:line="360" w:lineRule="auto"/>
        <w:ind w:left="0"/>
        <w:rPr>
          <w:rFonts w:ascii="Arial" w:hAnsi="Arial" w:cs="Arial"/>
          <w:sz w:val="24"/>
          <w:szCs w:val="24"/>
        </w:rPr>
      </w:pPr>
      <w:r w:rsidRPr="00BF0098">
        <w:rPr>
          <w:rFonts w:ascii="Arial" w:hAnsi="Arial" w:cs="Arial"/>
          <w:sz w:val="24"/>
          <w:szCs w:val="24"/>
        </w:rPr>
        <w:t>Si síntomas ligeros y tolera vía oral, administrar Gluconato de Calcio al 10%: 75mg/kg/dosis (4-6 subdosis).</w:t>
      </w:r>
    </w:p>
    <w:p w:rsidR="003F55C3" w:rsidRPr="00BF0098" w:rsidRDefault="003F55C3" w:rsidP="00BF0098">
      <w:pPr>
        <w:pStyle w:val="Prrafodelista"/>
        <w:spacing w:line="360" w:lineRule="auto"/>
        <w:ind w:left="0"/>
        <w:rPr>
          <w:rFonts w:ascii="Arial" w:hAnsi="Arial" w:cs="Arial"/>
          <w:sz w:val="24"/>
          <w:szCs w:val="24"/>
        </w:rPr>
      </w:pPr>
      <w:r w:rsidRPr="00BF0098">
        <w:rPr>
          <w:rFonts w:ascii="Arial" w:hAnsi="Arial" w:cs="Arial"/>
          <w:sz w:val="24"/>
          <w:szCs w:val="24"/>
        </w:rPr>
        <w:t>Si las manifestaciones clínicas son moderadas, administrar Gluconato de Calcio al 10% en infusión continua por 72 horas.</w:t>
      </w:r>
    </w:p>
    <w:p w:rsidR="003F55C3" w:rsidRPr="00BF0098" w:rsidRDefault="003F55C3" w:rsidP="00BF0098">
      <w:pPr>
        <w:pStyle w:val="Prrafodelista"/>
        <w:spacing w:line="360" w:lineRule="auto"/>
        <w:ind w:left="0"/>
        <w:rPr>
          <w:rFonts w:ascii="Arial" w:hAnsi="Arial" w:cs="Arial"/>
          <w:sz w:val="24"/>
          <w:szCs w:val="24"/>
        </w:rPr>
      </w:pPr>
      <w:r w:rsidRPr="00BF0098">
        <w:rPr>
          <w:rFonts w:ascii="Arial" w:hAnsi="Arial" w:cs="Arial"/>
          <w:sz w:val="24"/>
          <w:szCs w:val="24"/>
        </w:rPr>
        <w:t xml:space="preserve">Si existen manifestaciones de Tetania, administrar Gluconato de Calcio al 10% de 1 – 2 ml/kg en push bajo monitorización de la frecuencia cardíaca. La aparición de bradicardia obliga a detener la administración de calcio y en ocasiones puede llegar a requerir la administración de Atropina. Este tratamiento mantendrá los niveles de calcio de manera adecuada no más de 30 minutos, por lo que nuevos bolos o una pefusión de </w:t>
      </w:r>
      <w:smartTag w:uri="urn:schemas-microsoft-com:office:smarttags" w:element="metricconverter">
        <w:smartTagPr>
          <w:attr w:name="ProductID" w:val="0,5 a"/>
        </w:smartTagPr>
        <w:r w:rsidRPr="00BF0098">
          <w:rPr>
            <w:rFonts w:ascii="Arial" w:hAnsi="Arial" w:cs="Arial"/>
            <w:sz w:val="24"/>
            <w:szCs w:val="24"/>
          </w:rPr>
          <w:t>0,5 a</w:t>
        </w:r>
      </w:smartTag>
      <w:r w:rsidRPr="00BF0098">
        <w:rPr>
          <w:rFonts w:ascii="Arial" w:hAnsi="Arial" w:cs="Arial"/>
          <w:sz w:val="24"/>
          <w:szCs w:val="24"/>
        </w:rPr>
        <w:t xml:space="preserve"> 4 mg de calcio elemental por Kg de peso y por hora pueden ser necesarios para mantener al paciente asintomático.</w:t>
      </w:r>
    </w:p>
    <w:p w:rsidR="003F55C3" w:rsidRPr="00BF0098" w:rsidRDefault="003F55C3" w:rsidP="00BF0098">
      <w:pPr>
        <w:pStyle w:val="Prrafodelista"/>
        <w:spacing w:line="360" w:lineRule="auto"/>
        <w:ind w:left="0"/>
        <w:rPr>
          <w:rFonts w:ascii="Arial" w:hAnsi="Arial" w:cs="Arial"/>
          <w:b/>
          <w:sz w:val="24"/>
          <w:szCs w:val="24"/>
        </w:rPr>
      </w:pPr>
      <w:r w:rsidRPr="00BF0098">
        <w:rPr>
          <w:rFonts w:ascii="Arial" w:hAnsi="Arial" w:cs="Arial"/>
          <w:b/>
          <w:sz w:val="24"/>
          <w:szCs w:val="24"/>
        </w:rPr>
        <w:t>Presentación:</w:t>
      </w:r>
    </w:p>
    <w:p w:rsidR="003F55C3" w:rsidRPr="00BF0098" w:rsidRDefault="003F55C3" w:rsidP="00BF0098">
      <w:pPr>
        <w:pStyle w:val="Prrafodelista"/>
        <w:spacing w:line="360" w:lineRule="auto"/>
        <w:ind w:left="0"/>
        <w:rPr>
          <w:rFonts w:ascii="Arial" w:hAnsi="Arial" w:cs="Arial"/>
          <w:sz w:val="24"/>
          <w:szCs w:val="24"/>
        </w:rPr>
      </w:pPr>
      <w:r w:rsidRPr="00BF0098">
        <w:rPr>
          <w:rFonts w:ascii="Arial" w:hAnsi="Arial" w:cs="Arial"/>
          <w:sz w:val="24"/>
          <w:szCs w:val="24"/>
        </w:rPr>
        <w:t xml:space="preserve">     </w:t>
      </w:r>
      <w:r w:rsidRPr="00BF0098">
        <w:rPr>
          <w:rFonts w:ascii="Arial" w:hAnsi="Arial" w:cs="Arial"/>
          <w:b/>
          <w:sz w:val="24"/>
          <w:szCs w:val="24"/>
        </w:rPr>
        <w:t>Gluconato de Calcio al 10%:</w:t>
      </w:r>
      <w:r w:rsidRPr="00BF0098">
        <w:rPr>
          <w:rFonts w:ascii="Arial" w:hAnsi="Arial" w:cs="Arial"/>
          <w:sz w:val="24"/>
          <w:szCs w:val="24"/>
        </w:rPr>
        <w:t xml:space="preserve"> 1 ml = 0,45mEq = 9,3 mg de Calcio, dosis 5-10 ml en solución al 1%.</w:t>
      </w:r>
    </w:p>
    <w:p w:rsidR="003F55C3" w:rsidRPr="00BF0098" w:rsidRDefault="003F55C3" w:rsidP="00BF0098">
      <w:pPr>
        <w:pStyle w:val="Prrafodelista"/>
        <w:spacing w:line="360" w:lineRule="auto"/>
        <w:ind w:left="0"/>
        <w:rPr>
          <w:rFonts w:ascii="Arial" w:hAnsi="Arial" w:cs="Arial"/>
          <w:sz w:val="24"/>
          <w:szCs w:val="24"/>
        </w:rPr>
      </w:pPr>
      <w:r w:rsidRPr="00BF0098">
        <w:rPr>
          <w:rFonts w:ascii="Arial" w:hAnsi="Arial" w:cs="Arial"/>
          <w:sz w:val="24"/>
          <w:szCs w:val="24"/>
        </w:rPr>
        <w:t xml:space="preserve">     </w:t>
      </w:r>
      <w:r w:rsidRPr="00BF0098">
        <w:rPr>
          <w:rFonts w:ascii="Arial" w:hAnsi="Arial" w:cs="Arial"/>
          <w:b/>
          <w:sz w:val="24"/>
          <w:szCs w:val="24"/>
        </w:rPr>
        <w:t>Cloruro de Calcio al 10%:</w:t>
      </w:r>
      <w:r w:rsidRPr="00BF0098">
        <w:rPr>
          <w:rFonts w:ascii="Arial" w:hAnsi="Arial" w:cs="Arial"/>
          <w:sz w:val="24"/>
          <w:szCs w:val="24"/>
        </w:rPr>
        <w:t xml:space="preserve"> 1 ml = 1,36mEq = 27,2mg de Calcio, dosis 2,5-5 ml en solución al 1%.</w:t>
      </w:r>
    </w:p>
    <w:p w:rsidR="003F55C3" w:rsidRPr="00BF0098" w:rsidRDefault="003F55C3" w:rsidP="00BF0098">
      <w:pPr>
        <w:pStyle w:val="Prrafodelista"/>
        <w:spacing w:line="360" w:lineRule="auto"/>
        <w:ind w:left="0"/>
        <w:rPr>
          <w:rFonts w:ascii="Arial" w:hAnsi="Arial" w:cs="Arial"/>
          <w:sz w:val="24"/>
          <w:szCs w:val="24"/>
        </w:rPr>
      </w:pPr>
      <w:r w:rsidRPr="00BF0098">
        <w:rPr>
          <w:rFonts w:ascii="Arial" w:hAnsi="Arial" w:cs="Arial"/>
          <w:sz w:val="24"/>
          <w:szCs w:val="24"/>
        </w:rPr>
        <w:t xml:space="preserve">     Velocidad máxima de infusión: 1ml/min.</w:t>
      </w:r>
    </w:p>
    <w:p w:rsidR="003F55C3" w:rsidRPr="00BF0098" w:rsidRDefault="003F55C3" w:rsidP="00BF0098">
      <w:pPr>
        <w:pStyle w:val="Prrafodelista"/>
        <w:spacing w:line="360" w:lineRule="auto"/>
        <w:ind w:left="0"/>
        <w:rPr>
          <w:rFonts w:ascii="Arial" w:hAnsi="Arial" w:cs="Arial"/>
          <w:b/>
          <w:sz w:val="24"/>
          <w:szCs w:val="24"/>
        </w:rPr>
      </w:pPr>
      <w:r w:rsidRPr="00BF0098">
        <w:rPr>
          <w:rFonts w:ascii="Arial" w:hAnsi="Arial" w:cs="Arial"/>
          <w:b/>
          <w:sz w:val="24"/>
          <w:szCs w:val="24"/>
        </w:rPr>
        <w:t>Cuidados que se deben tener en cuenta cuando se administra Calcio endovenoso:</w:t>
      </w:r>
    </w:p>
    <w:p w:rsidR="003F55C3" w:rsidRPr="00BF0098" w:rsidRDefault="003F55C3" w:rsidP="00BF0098">
      <w:pPr>
        <w:pStyle w:val="Prrafodelista"/>
        <w:spacing w:after="0" w:line="360" w:lineRule="auto"/>
        <w:ind w:left="0"/>
        <w:rPr>
          <w:rFonts w:ascii="Arial" w:hAnsi="Arial" w:cs="Arial"/>
          <w:sz w:val="24"/>
          <w:szCs w:val="24"/>
        </w:rPr>
      </w:pPr>
      <w:r w:rsidRPr="00BF0098">
        <w:rPr>
          <w:rFonts w:ascii="Arial" w:hAnsi="Arial" w:cs="Arial"/>
          <w:sz w:val="24"/>
          <w:szCs w:val="24"/>
        </w:rPr>
        <w:lastRenderedPageBreak/>
        <w:t>No asociarlo con Bicarbonato ya que precipita, ni con drogas vasoactivas.</w:t>
      </w:r>
    </w:p>
    <w:p w:rsidR="003F55C3" w:rsidRPr="00BF0098" w:rsidRDefault="003F55C3" w:rsidP="00BF0098">
      <w:pPr>
        <w:pStyle w:val="Prrafodelista"/>
        <w:spacing w:after="0" w:line="360" w:lineRule="auto"/>
        <w:ind w:left="0"/>
        <w:rPr>
          <w:rFonts w:ascii="Arial" w:hAnsi="Arial" w:cs="Arial"/>
          <w:sz w:val="24"/>
          <w:szCs w:val="24"/>
        </w:rPr>
      </w:pPr>
      <w:r w:rsidRPr="00BF0098">
        <w:rPr>
          <w:rFonts w:ascii="Arial" w:hAnsi="Arial" w:cs="Arial"/>
          <w:sz w:val="24"/>
          <w:szCs w:val="24"/>
        </w:rPr>
        <w:t>Si se extravasa puede producir necrosis de la piel y el tejido celular subcutáneo.</w:t>
      </w:r>
    </w:p>
    <w:p w:rsidR="003F55C3" w:rsidRPr="00BF0098" w:rsidRDefault="003F55C3" w:rsidP="00BF0098">
      <w:pPr>
        <w:pStyle w:val="Prrafodelista"/>
        <w:spacing w:after="0" w:line="360" w:lineRule="auto"/>
        <w:ind w:left="0"/>
        <w:rPr>
          <w:rFonts w:ascii="Arial" w:hAnsi="Arial" w:cs="Arial"/>
          <w:sz w:val="24"/>
          <w:szCs w:val="24"/>
        </w:rPr>
      </w:pPr>
      <w:r w:rsidRPr="00BF0098">
        <w:rPr>
          <w:rFonts w:ascii="Arial" w:hAnsi="Arial" w:cs="Arial"/>
          <w:sz w:val="24"/>
          <w:szCs w:val="24"/>
        </w:rPr>
        <w:t>Si se administra rápidamente produce bradicardia y para cardíaco.</w:t>
      </w:r>
    </w:p>
    <w:p w:rsidR="003F55C3" w:rsidRPr="00BF0098" w:rsidRDefault="003F55C3" w:rsidP="00BF0098">
      <w:pPr>
        <w:pStyle w:val="Prrafodelista"/>
        <w:numPr>
          <w:ilvl w:val="0"/>
          <w:numId w:val="9"/>
        </w:numPr>
        <w:spacing w:after="0" w:line="360" w:lineRule="auto"/>
        <w:ind w:left="0"/>
        <w:rPr>
          <w:rFonts w:ascii="Arial" w:hAnsi="Arial" w:cs="Arial"/>
          <w:sz w:val="24"/>
          <w:szCs w:val="24"/>
        </w:rPr>
      </w:pPr>
      <w:r w:rsidRPr="00BF0098">
        <w:rPr>
          <w:rFonts w:ascii="Arial" w:hAnsi="Arial" w:cs="Arial"/>
          <w:sz w:val="24"/>
          <w:szCs w:val="24"/>
        </w:rPr>
        <w:t>La administración intramuscular o intraarterial están prohibidas por el elevado riesgo de Necrosis Hística.</w:t>
      </w:r>
    </w:p>
    <w:p w:rsidR="003F55C3" w:rsidRPr="00BF0098" w:rsidRDefault="003F55C3" w:rsidP="00BF0098">
      <w:pPr>
        <w:pStyle w:val="Prrafodelista"/>
        <w:spacing w:line="360" w:lineRule="auto"/>
        <w:ind w:left="0"/>
        <w:rPr>
          <w:rFonts w:ascii="Arial" w:hAnsi="Arial" w:cs="Arial"/>
          <w:b/>
          <w:sz w:val="24"/>
          <w:szCs w:val="24"/>
        </w:rPr>
      </w:pPr>
      <w:r w:rsidRPr="00BF0098">
        <w:rPr>
          <w:rFonts w:ascii="Arial" w:hAnsi="Arial" w:cs="Arial"/>
          <w:b/>
          <w:sz w:val="24"/>
          <w:szCs w:val="24"/>
        </w:rPr>
        <w:t>En presencia de hipocalcemia sin causa bien establecida se debe tener en cuenta:</w:t>
      </w:r>
    </w:p>
    <w:p w:rsidR="003F55C3" w:rsidRPr="00BF0098" w:rsidRDefault="003F55C3" w:rsidP="00BF0098">
      <w:pPr>
        <w:pStyle w:val="Prrafodelista"/>
        <w:numPr>
          <w:ilvl w:val="0"/>
          <w:numId w:val="10"/>
        </w:numPr>
        <w:spacing w:after="0" w:line="360" w:lineRule="auto"/>
        <w:ind w:left="0"/>
        <w:rPr>
          <w:rFonts w:ascii="Arial" w:hAnsi="Arial" w:cs="Arial"/>
          <w:sz w:val="24"/>
          <w:szCs w:val="24"/>
        </w:rPr>
      </w:pPr>
      <w:r w:rsidRPr="00BF0098">
        <w:rPr>
          <w:rFonts w:ascii="Arial" w:hAnsi="Arial" w:cs="Arial"/>
          <w:sz w:val="24"/>
          <w:szCs w:val="24"/>
        </w:rPr>
        <w:t>Medir albúmina sérica: si está disminuida corregirla previamente.</w:t>
      </w:r>
    </w:p>
    <w:p w:rsidR="003F55C3" w:rsidRPr="00BF0098" w:rsidRDefault="003F55C3" w:rsidP="00BF0098">
      <w:pPr>
        <w:pStyle w:val="Prrafodelista"/>
        <w:numPr>
          <w:ilvl w:val="0"/>
          <w:numId w:val="10"/>
        </w:numPr>
        <w:spacing w:after="0" w:line="360" w:lineRule="auto"/>
        <w:ind w:left="0"/>
        <w:rPr>
          <w:rFonts w:ascii="Arial" w:hAnsi="Arial" w:cs="Arial"/>
          <w:sz w:val="24"/>
          <w:szCs w:val="24"/>
        </w:rPr>
      </w:pPr>
      <w:r w:rsidRPr="00BF0098">
        <w:rPr>
          <w:rFonts w:ascii="Arial" w:hAnsi="Arial" w:cs="Arial"/>
          <w:sz w:val="24"/>
          <w:szCs w:val="24"/>
        </w:rPr>
        <w:t>Medir magnesio sérico y si es menor que 0,8mg/dl corregir con Sulfato de magnesio.</w:t>
      </w:r>
    </w:p>
    <w:p w:rsidR="003F55C3" w:rsidRPr="00BF0098" w:rsidRDefault="003F55C3" w:rsidP="00BF0098">
      <w:pPr>
        <w:pStyle w:val="Prrafodelista"/>
        <w:numPr>
          <w:ilvl w:val="0"/>
          <w:numId w:val="10"/>
        </w:numPr>
        <w:spacing w:after="0" w:line="360" w:lineRule="auto"/>
        <w:ind w:left="0"/>
        <w:rPr>
          <w:rFonts w:ascii="Arial" w:hAnsi="Arial" w:cs="Arial"/>
          <w:sz w:val="24"/>
          <w:szCs w:val="24"/>
        </w:rPr>
      </w:pPr>
      <w:r w:rsidRPr="00BF0098">
        <w:rPr>
          <w:rFonts w:ascii="Arial" w:hAnsi="Arial" w:cs="Arial"/>
          <w:sz w:val="24"/>
          <w:szCs w:val="24"/>
        </w:rPr>
        <w:t>Medir fosfato sérico. Si está disminuido sugiere déficit de vitamina D y si está aumentado, Hipoparatiroidismo. Si se asocia un cuadro de Insuficiencia Renal, medir niveles de Paratohormona.</w:t>
      </w:r>
    </w:p>
    <w:p w:rsidR="003F55C3" w:rsidRPr="00BF0098" w:rsidRDefault="003F55C3" w:rsidP="00BF0098">
      <w:pPr>
        <w:pStyle w:val="Prrafodelista"/>
        <w:spacing w:line="360" w:lineRule="auto"/>
        <w:ind w:left="0"/>
        <w:rPr>
          <w:rFonts w:ascii="Arial" w:hAnsi="Arial" w:cs="Arial"/>
          <w:b/>
          <w:sz w:val="24"/>
          <w:szCs w:val="24"/>
        </w:rPr>
      </w:pPr>
      <w:r w:rsidRPr="00BF0098">
        <w:rPr>
          <w:rFonts w:ascii="Arial" w:hAnsi="Arial" w:cs="Arial"/>
          <w:b/>
          <w:sz w:val="24"/>
          <w:szCs w:val="24"/>
        </w:rPr>
        <w:t>Hipercalcemia</w:t>
      </w:r>
    </w:p>
    <w:p w:rsidR="003F55C3" w:rsidRPr="00BF0098" w:rsidRDefault="003F55C3" w:rsidP="00BF0098">
      <w:pPr>
        <w:pStyle w:val="Prrafodelista"/>
        <w:spacing w:line="360" w:lineRule="auto"/>
        <w:ind w:left="0"/>
        <w:rPr>
          <w:rFonts w:ascii="Arial" w:hAnsi="Arial" w:cs="Arial"/>
          <w:sz w:val="24"/>
          <w:szCs w:val="24"/>
        </w:rPr>
      </w:pPr>
      <w:r w:rsidRPr="00BF0098">
        <w:rPr>
          <w:rFonts w:ascii="Arial" w:hAnsi="Arial" w:cs="Arial"/>
          <w:sz w:val="24"/>
          <w:szCs w:val="24"/>
        </w:rPr>
        <w:t xml:space="preserve">La hipercalcemia es un trastorno raro en los niños, los niveles séricos se encuentran por encima de 10,5 mg/dl (2,62 mmol/L o 5,25 mEq/L) o cuando el calcio iónico excede los 5,25 mg/dl </w:t>
      </w:r>
      <w:proofErr w:type="gramStart"/>
      <w:r w:rsidRPr="00BF0098">
        <w:rPr>
          <w:rFonts w:ascii="Arial" w:hAnsi="Arial" w:cs="Arial"/>
          <w:sz w:val="24"/>
          <w:szCs w:val="24"/>
        </w:rPr>
        <w:t>( 1,31mmol</w:t>
      </w:r>
      <w:proofErr w:type="gramEnd"/>
      <w:r w:rsidRPr="00BF0098">
        <w:rPr>
          <w:rFonts w:ascii="Arial" w:hAnsi="Arial" w:cs="Arial"/>
          <w:sz w:val="24"/>
          <w:szCs w:val="24"/>
        </w:rPr>
        <w:t>/L o 2,62 mEq/L). Es conveniente ajustar la concentración de calcio sérico total a la concentración de álbumina: por cada 1 gr/dl de álbumina por encima o por debajo de 4 gr/dl, el calcio deberá ajustarse hacia abajo o hacia arriba, respectivamente, 0,8mg/dl (0,8mmol/L).</w:t>
      </w:r>
    </w:p>
    <w:p w:rsidR="003F55C3" w:rsidRPr="00BF0098" w:rsidRDefault="003F55C3" w:rsidP="00BF0098">
      <w:pPr>
        <w:pStyle w:val="Prrafodelista"/>
        <w:spacing w:line="360" w:lineRule="auto"/>
        <w:ind w:left="0"/>
        <w:rPr>
          <w:rFonts w:ascii="Arial" w:hAnsi="Arial" w:cs="Arial"/>
          <w:b/>
          <w:sz w:val="24"/>
          <w:szCs w:val="24"/>
        </w:rPr>
      </w:pPr>
      <w:r w:rsidRPr="00BF0098">
        <w:rPr>
          <w:rFonts w:ascii="Arial" w:hAnsi="Arial" w:cs="Arial"/>
          <w:b/>
          <w:sz w:val="24"/>
          <w:szCs w:val="24"/>
        </w:rPr>
        <w:t>Etiología</w:t>
      </w:r>
    </w:p>
    <w:p w:rsidR="003F55C3" w:rsidRPr="00BF0098" w:rsidRDefault="003F55C3" w:rsidP="00BF0098">
      <w:pPr>
        <w:pStyle w:val="Prrafodelista"/>
        <w:spacing w:line="360" w:lineRule="auto"/>
        <w:ind w:left="0"/>
        <w:rPr>
          <w:rFonts w:ascii="Arial" w:hAnsi="Arial" w:cs="Arial"/>
          <w:sz w:val="24"/>
          <w:szCs w:val="24"/>
        </w:rPr>
      </w:pPr>
      <w:r w:rsidRPr="00BF0098">
        <w:rPr>
          <w:rFonts w:ascii="Arial" w:hAnsi="Arial" w:cs="Arial"/>
          <w:sz w:val="24"/>
          <w:szCs w:val="24"/>
        </w:rPr>
        <w:t>Durante el primer año de vida:</w:t>
      </w:r>
    </w:p>
    <w:p w:rsidR="003F55C3" w:rsidRPr="00BF0098" w:rsidRDefault="003F55C3" w:rsidP="00BF0098">
      <w:pPr>
        <w:pStyle w:val="Prrafodelista"/>
        <w:numPr>
          <w:ilvl w:val="0"/>
          <w:numId w:val="16"/>
        </w:numPr>
        <w:spacing w:after="0" w:line="360" w:lineRule="auto"/>
        <w:ind w:left="0"/>
        <w:rPr>
          <w:rFonts w:ascii="Arial" w:hAnsi="Arial" w:cs="Arial"/>
          <w:sz w:val="24"/>
          <w:szCs w:val="24"/>
        </w:rPr>
      </w:pPr>
      <w:r w:rsidRPr="00BF0098">
        <w:rPr>
          <w:rFonts w:ascii="Arial" w:hAnsi="Arial" w:cs="Arial"/>
          <w:sz w:val="24"/>
          <w:szCs w:val="24"/>
        </w:rPr>
        <w:t>Necrosis de grasa subcutánea</w:t>
      </w:r>
    </w:p>
    <w:p w:rsidR="003F55C3" w:rsidRPr="00BF0098" w:rsidRDefault="003F55C3" w:rsidP="00BF0098">
      <w:pPr>
        <w:pStyle w:val="Prrafodelista"/>
        <w:numPr>
          <w:ilvl w:val="0"/>
          <w:numId w:val="16"/>
        </w:numPr>
        <w:spacing w:after="0" w:line="360" w:lineRule="auto"/>
        <w:ind w:left="0"/>
        <w:rPr>
          <w:rFonts w:ascii="Arial" w:hAnsi="Arial" w:cs="Arial"/>
          <w:sz w:val="24"/>
          <w:szCs w:val="24"/>
        </w:rPr>
      </w:pPr>
      <w:r w:rsidRPr="00BF0098">
        <w:rPr>
          <w:rFonts w:ascii="Arial" w:hAnsi="Arial" w:cs="Arial"/>
          <w:sz w:val="24"/>
          <w:szCs w:val="24"/>
        </w:rPr>
        <w:t>Hipoparatiroidismo materno</w:t>
      </w:r>
    </w:p>
    <w:p w:rsidR="003F55C3" w:rsidRPr="00BF0098" w:rsidRDefault="003F55C3" w:rsidP="00BF0098">
      <w:pPr>
        <w:pStyle w:val="Prrafodelista"/>
        <w:numPr>
          <w:ilvl w:val="0"/>
          <w:numId w:val="16"/>
        </w:numPr>
        <w:spacing w:after="0" w:line="360" w:lineRule="auto"/>
        <w:ind w:left="0"/>
        <w:rPr>
          <w:rFonts w:ascii="Arial" w:hAnsi="Arial" w:cs="Arial"/>
          <w:sz w:val="24"/>
          <w:szCs w:val="24"/>
        </w:rPr>
      </w:pPr>
      <w:r w:rsidRPr="00BF0098">
        <w:rPr>
          <w:rFonts w:ascii="Arial" w:hAnsi="Arial" w:cs="Arial"/>
          <w:sz w:val="24"/>
          <w:szCs w:val="24"/>
        </w:rPr>
        <w:t>Hiperplasia familiar de la paratiroides</w:t>
      </w:r>
    </w:p>
    <w:p w:rsidR="003F55C3" w:rsidRPr="00BF0098" w:rsidRDefault="003F55C3" w:rsidP="00BF0098">
      <w:pPr>
        <w:pStyle w:val="Prrafodelista"/>
        <w:numPr>
          <w:ilvl w:val="0"/>
          <w:numId w:val="16"/>
        </w:numPr>
        <w:spacing w:after="0" w:line="360" w:lineRule="auto"/>
        <w:ind w:left="0"/>
        <w:rPr>
          <w:rFonts w:ascii="Arial" w:hAnsi="Arial" w:cs="Arial"/>
          <w:sz w:val="24"/>
          <w:szCs w:val="24"/>
        </w:rPr>
      </w:pPr>
      <w:r w:rsidRPr="00BF0098">
        <w:rPr>
          <w:rFonts w:ascii="Arial" w:hAnsi="Arial" w:cs="Arial"/>
          <w:sz w:val="24"/>
          <w:szCs w:val="24"/>
        </w:rPr>
        <w:t>Hipercalcemia idiopática. Aumento de la sensibilidad a la vitamina D y se caracteriza por retraso psicomotor, alteraciones cardiovasculares como estenosis aórtica y pulmonar.</w:t>
      </w:r>
    </w:p>
    <w:p w:rsidR="003F55C3" w:rsidRPr="00BF0098" w:rsidRDefault="003F55C3" w:rsidP="00BF0098">
      <w:pPr>
        <w:pStyle w:val="Prrafodelista"/>
        <w:numPr>
          <w:ilvl w:val="0"/>
          <w:numId w:val="11"/>
        </w:numPr>
        <w:spacing w:after="0" w:line="360" w:lineRule="auto"/>
        <w:ind w:left="0"/>
        <w:rPr>
          <w:rFonts w:ascii="Arial" w:hAnsi="Arial" w:cs="Arial"/>
          <w:sz w:val="24"/>
          <w:szCs w:val="24"/>
        </w:rPr>
      </w:pPr>
      <w:r w:rsidRPr="00BF0098">
        <w:rPr>
          <w:rFonts w:ascii="Arial" w:hAnsi="Arial" w:cs="Arial"/>
          <w:sz w:val="24"/>
          <w:szCs w:val="24"/>
        </w:rPr>
        <w:t>Hiperparatiroidismo:</w:t>
      </w:r>
    </w:p>
    <w:p w:rsidR="003F55C3" w:rsidRPr="00BF0098" w:rsidRDefault="003F55C3" w:rsidP="00BF0098">
      <w:pPr>
        <w:pStyle w:val="Prrafodelista"/>
        <w:numPr>
          <w:ilvl w:val="0"/>
          <w:numId w:val="15"/>
        </w:numPr>
        <w:spacing w:after="0" w:line="360" w:lineRule="auto"/>
        <w:ind w:left="0"/>
        <w:rPr>
          <w:rFonts w:ascii="Arial" w:hAnsi="Arial" w:cs="Arial"/>
          <w:sz w:val="24"/>
          <w:szCs w:val="24"/>
        </w:rPr>
      </w:pPr>
      <w:r w:rsidRPr="00BF0098">
        <w:rPr>
          <w:rFonts w:ascii="Arial" w:hAnsi="Arial" w:cs="Arial"/>
          <w:sz w:val="24"/>
          <w:szCs w:val="24"/>
        </w:rPr>
        <w:t>Primario: adenoma</w:t>
      </w:r>
    </w:p>
    <w:p w:rsidR="003F55C3" w:rsidRPr="00BF0098" w:rsidRDefault="003F55C3" w:rsidP="00BF0098">
      <w:pPr>
        <w:pStyle w:val="Prrafodelista"/>
        <w:numPr>
          <w:ilvl w:val="0"/>
          <w:numId w:val="15"/>
        </w:numPr>
        <w:spacing w:after="0" w:line="360" w:lineRule="auto"/>
        <w:ind w:left="0"/>
        <w:rPr>
          <w:rFonts w:ascii="Arial" w:hAnsi="Arial" w:cs="Arial"/>
          <w:sz w:val="24"/>
          <w:szCs w:val="24"/>
        </w:rPr>
      </w:pPr>
      <w:r w:rsidRPr="00BF0098">
        <w:rPr>
          <w:rFonts w:ascii="Arial" w:hAnsi="Arial" w:cs="Arial"/>
          <w:sz w:val="24"/>
          <w:szCs w:val="24"/>
        </w:rPr>
        <w:t>Asociado a tumores de la pituitaria y páncreas</w:t>
      </w:r>
    </w:p>
    <w:p w:rsidR="003F55C3" w:rsidRPr="00BF0098" w:rsidRDefault="003F55C3" w:rsidP="00BF0098">
      <w:pPr>
        <w:pStyle w:val="Prrafodelista"/>
        <w:numPr>
          <w:ilvl w:val="0"/>
          <w:numId w:val="15"/>
        </w:numPr>
        <w:spacing w:after="0" w:line="360" w:lineRule="auto"/>
        <w:ind w:left="0"/>
        <w:rPr>
          <w:rFonts w:ascii="Arial" w:hAnsi="Arial" w:cs="Arial"/>
          <w:sz w:val="24"/>
          <w:szCs w:val="24"/>
        </w:rPr>
      </w:pPr>
      <w:r w:rsidRPr="00BF0098">
        <w:rPr>
          <w:rFonts w:ascii="Arial" w:hAnsi="Arial" w:cs="Arial"/>
          <w:sz w:val="24"/>
          <w:szCs w:val="24"/>
        </w:rPr>
        <w:lastRenderedPageBreak/>
        <w:t>Asociado con carcinoma medular de tiroides y feocromocitoma.</w:t>
      </w:r>
    </w:p>
    <w:p w:rsidR="003F55C3" w:rsidRPr="00BF0098" w:rsidRDefault="003F55C3" w:rsidP="00BF0098">
      <w:pPr>
        <w:pStyle w:val="Prrafodelista"/>
        <w:numPr>
          <w:ilvl w:val="0"/>
          <w:numId w:val="11"/>
        </w:numPr>
        <w:spacing w:after="0" w:line="360" w:lineRule="auto"/>
        <w:ind w:left="0"/>
        <w:rPr>
          <w:rFonts w:ascii="Arial" w:hAnsi="Arial" w:cs="Arial"/>
          <w:sz w:val="24"/>
          <w:szCs w:val="24"/>
        </w:rPr>
      </w:pPr>
      <w:r w:rsidRPr="00BF0098">
        <w:rPr>
          <w:rFonts w:ascii="Arial" w:hAnsi="Arial" w:cs="Arial"/>
          <w:sz w:val="24"/>
          <w:szCs w:val="24"/>
        </w:rPr>
        <w:t>Hiperplasia:</w:t>
      </w:r>
    </w:p>
    <w:p w:rsidR="003F55C3" w:rsidRPr="00BF0098" w:rsidRDefault="003F55C3" w:rsidP="00BF0098">
      <w:pPr>
        <w:pStyle w:val="Prrafodelista"/>
        <w:numPr>
          <w:ilvl w:val="0"/>
          <w:numId w:val="14"/>
        </w:numPr>
        <w:spacing w:after="0" w:line="360" w:lineRule="auto"/>
        <w:ind w:left="0"/>
        <w:rPr>
          <w:rFonts w:ascii="Arial" w:hAnsi="Arial" w:cs="Arial"/>
          <w:sz w:val="24"/>
          <w:szCs w:val="24"/>
        </w:rPr>
      </w:pPr>
      <w:r w:rsidRPr="00BF0098">
        <w:rPr>
          <w:rFonts w:ascii="Arial" w:hAnsi="Arial" w:cs="Arial"/>
          <w:sz w:val="24"/>
          <w:szCs w:val="24"/>
        </w:rPr>
        <w:t>Familiar.</w:t>
      </w:r>
    </w:p>
    <w:p w:rsidR="003F55C3" w:rsidRPr="00BF0098" w:rsidRDefault="003F55C3" w:rsidP="00BF0098">
      <w:pPr>
        <w:pStyle w:val="Prrafodelista"/>
        <w:numPr>
          <w:ilvl w:val="0"/>
          <w:numId w:val="14"/>
        </w:numPr>
        <w:spacing w:after="0" w:line="360" w:lineRule="auto"/>
        <w:ind w:left="0"/>
        <w:rPr>
          <w:rFonts w:ascii="Arial" w:hAnsi="Arial" w:cs="Arial"/>
          <w:sz w:val="24"/>
          <w:szCs w:val="24"/>
        </w:rPr>
      </w:pPr>
      <w:r w:rsidRPr="00BF0098">
        <w:rPr>
          <w:rFonts w:ascii="Arial" w:hAnsi="Arial" w:cs="Arial"/>
          <w:sz w:val="24"/>
          <w:szCs w:val="24"/>
        </w:rPr>
        <w:t>Esporádica.</w:t>
      </w:r>
    </w:p>
    <w:p w:rsidR="003F55C3" w:rsidRPr="00BF0098" w:rsidRDefault="003F55C3" w:rsidP="00BF0098">
      <w:pPr>
        <w:pStyle w:val="Prrafodelista"/>
        <w:numPr>
          <w:ilvl w:val="0"/>
          <w:numId w:val="11"/>
        </w:numPr>
        <w:spacing w:after="0" w:line="360" w:lineRule="auto"/>
        <w:ind w:left="0"/>
        <w:rPr>
          <w:rFonts w:ascii="Arial" w:hAnsi="Arial" w:cs="Arial"/>
          <w:sz w:val="24"/>
          <w:szCs w:val="24"/>
        </w:rPr>
      </w:pPr>
      <w:r w:rsidRPr="00BF0098">
        <w:rPr>
          <w:rFonts w:ascii="Arial" w:hAnsi="Arial" w:cs="Arial"/>
          <w:sz w:val="24"/>
          <w:szCs w:val="24"/>
        </w:rPr>
        <w:t>Secundario: hiperfosfatemia inducida por fallo renal.</w:t>
      </w:r>
    </w:p>
    <w:p w:rsidR="003F55C3" w:rsidRPr="00BF0098" w:rsidRDefault="003F55C3" w:rsidP="00BF0098">
      <w:pPr>
        <w:pStyle w:val="Prrafodelista"/>
        <w:numPr>
          <w:ilvl w:val="0"/>
          <w:numId w:val="11"/>
        </w:numPr>
        <w:spacing w:after="0" w:line="360" w:lineRule="auto"/>
        <w:ind w:left="0"/>
        <w:rPr>
          <w:rFonts w:ascii="Arial" w:hAnsi="Arial" w:cs="Arial"/>
          <w:sz w:val="24"/>
          <w:szCs w:val="24"/>
        </w:rPr>
      </w:pPr>
      <w:r w:rsidRPr="00BF0098">
        <w:rPr>
          <w:rFonts w:ascii="Arial" w:hAnsi="Arial" w:cs="Arial"/>
          <w:sz w:val="24"/>
          <w:szCs w:val="24"/>
        </w:rPr>
        <w:t>Hipercalcemia: hipercalciuria familiar por déficit en la reabsorción renal de calcio.</w:t>
      </w:r>
    </w:p>
    <w:p w:rsidR="003F55C3" w:rsidRPr="00BF0098" w:rsidRDefault="003F55C3" w:rsidP="00BF0098">
      <w:pPr>
        <w:pStyle w:val="Prrafodelista"/>
        <w:numPr>
          <w:ilvl w:val="0"/>
          <w:numId w:val="11"/>
        </w:numPr>
        <w:spacing w:after="0" w:line="360" w:lineRule="auto"/>
        <w:ind w:left="0"/>
        <w:rPr>
          <w:rFonts w:ascii="Arial" w:hAnsi="Arial" w:cs="Arial"/>
          <w:sz w:val="24"/>
          <w:szCs w:val="24"/>
        </w:rPr>
      </w:pPr>
      <w:r w:rsidRPr="00BF0098">
        <w:rPr>
          <w:rFonts w:ascii="Arial" w:hAnsi="Arial" w:cs="Arial"/>
          <w:sz w:val="24"/>
          <w:szCs w:val="24"/>
        </w:rPr>
        <w:t>Intoxicación por vitamina D, vitamina A (aumento de la resorción ósea y por aluminio).</w:t>
      </w:r>
    </w:p>
    <w:p w:rsidR="003F55C3" w:rsidRPr="00BF0098" w:rsidRDefault="003F55C3" w:rsidP="00BF0098">
      <w:pPr>
        <w:pStyle w:val="Prrafodelista"/>
        <w:numPr>
          <w:ilvl w:val="0"/>
          <w:numId w:val="11"/>
        </w:numPr>
        <w:spacing w:after="0" w:line="360" w:lineRule="auto"/>
        <w:ind w:left="0"/>
        <w:rPr>
          <w:rFonts w:ascii="Arial" w:hAnsi="Arial" w:cs="Arial"/>
          <w:sz w:val="24"/>
          <w:szCs w:val="24"/>
        </w:rPr>
      </w:pPr>
      <w:r w:rsidRPr="00BF0098">
        <w:rPr>
          <w:rFonts w:ascii="Arial" w:hAnsi="Arial" w:cs="Arial"/>
          <w:sz w:val="24"/>
          <w:szCs w:val="24"/>
        </w:rPr>
        <w:t>Destrucción masiva ósea por procesos malignos (resorción ósea o por la secreción de un péptido parecido a la paratohormona).</w:t>
      </w:r>
    </w:p>
    <w:p w:rsidR="003F55C3" w:rsidRPr="00BF0098" w:rsidRDefault="003F55C3" w:rsidP="00BF0098">
      <w:pPr>
        <w:pStyle w:val="Prrafodelista"/>
        <w:numPr>
          <w:ilvl w:val="0"/>
          <w:numId w:val="11"/>
        </w:numPr>
        <w:spacing w:after="0" w:line="360" w:lineRule="auto"/>
        <w:ind w:left="0"/>
        <w:rPr>
          <w:rFonts w:ascii="Arial" w:hAnsi="Arial" w:cs="Arial"/>
          <w:sz w:val="24"/>
          <w:szCs w:val="24"/>
        </w:rPr>
      </w:pPr>
      <w:r w:rsidRPr="00BF0098">
        <w:rPr>
          <w:rFonts w:ascii="Arial" w:hAnsi="Arial" w:cs="Arial"/>
          <w:sz w:val="24"/>
          <w:szCs w:val="24"/>
        </w:rPr>
        <w:t>Enfermedad granulomatosa.</w:t>
      </w:r>
    </w:p>
    <w:p w:rsidR="003F55C3" w:rsidRPr="00BF0098" w:rsidRDefault="003F55C3" w:rsidP="00BF0098">
      <w:pPr>
        <w:pStyle w:val="Prrafodelista"/>
        <w:numPr>
          <w:ilvl w:val="0"/>
          <w:numId w:val="11"/>
        </w:numPr>
        <w:spacing w:after="0" w:line="360" w:lineRule="auto"/>
        <w:ind w:left="0"/>
        <w:jc w:val="both"/>
        <w:rPr>
          <w:rFonts w:ascii="Arial" w:hAnsi="Arial" w:cs="Arial"/>
          <w:sz w:val="24"/>
          <w:szCs w:val="24"/>
        </w:rPr>
      </w:pPr>
      <w:r w:rsidRPr="00BF0098">
        <w:rPr>
          <w:rFonts w:ascii="Arial" w:hAnsi="Arial" w:cs="Arial"/>
          <w:sz w:val="24"/>
          <w:szCs w:val="24"/>
        </w:rPr>
        <w:t>Disfunción tiroidea o adrenal.</w:t>
      </w:r>
    </w:p>
    <w:p w:rsidR="003F55C3" w:rsidRPr="00BF0098" w:rsidRDefault="003F55C3" w:rsidP="00BF0098">
      <w:pPr>
        <w:pStyle w:val="Prrafodelista"/>
        <w:numPr>
          <w:ilvl w:val="0"/>
          <w:numId w:val="11"/>
        </w:numPr>
        <w:spacing w:after="0" w:line="360" w:lineRule="auto"/>
        <w:ind w:left="0"/>
        <w:jc w:val="both"/>
        <w:rPr>
          <w:rFonts w:ascii="Arial" w:hAnsi="Arial" w:cs="Arial"/>
          <w:sz w:val="24"/>
          <w:szCs w:val="24"/>
        </w:rPr>
      </w:pPr>
      <w:r w:rsidRPr="00BF0098">
        <w:rPr>
          <w:rFonts w:ascii="Arial" w:hAnsi="Arial" w:cs="Arial"/>
          <w:sz w:val="24"/>
          <w:szCs w:val="24"/>
        </w:rPr>
        <w:t>Hemodiálisis o diálisis peritoneal con alto contenido de calcio.</w:t>
      </w:r>
    </w:p>
    <w:p w:rsidR="003F55C3" w:rsidRPr="00BF0098" w:rsidRDefault="003F55C3" w:rsidP="00BF0098">
      <w:pPr>
        <w:pStyle w:val="Prrafodelista"/>
        <w:numPr>
          <w:ilvl w:val="0"/>
          <w:numId w:val="11"/>
        </w:numPr>
        <w:spacing w:after="0" w:line="360" w:lineRule="auto"/>
        <w:ind w:left="0"/>
        <w:jc w:val="both"/>
        <w:rPr>
          <w:rFonts w:ascii="Arial" w:hAnsi="Arial" w:cs="Arial"/>
          <w:sz w:val="24"/>
          <w:szCs w:val="24"/>
        </w:rPr>
      </w:pPr>
      <w:r w:rsidRPr="00BF0098">
        <w:rPr>
          <w:rFonts w:ascii="Arial" w:hAnsi="Arial" w:cs="Arial"/>
          <w:sz w:val="24"/>
          <w:szCs w:val="24"/>
        </w:rPr>
        <w:t>Sarcoidosis y tuberculosis. En estas enfermedades existe un aumento en la sensibilidad a la vitamina D, lo que explica la frecuencia de la hipercalcemia.</w:t>
      </w:r>
    </w:p>
    <w:p w:rsidR="003F55C3" w:rsidRPr="00BF0098" w:rsidRDefault="003F55C3" w:rsidP="00BF0098">
      <w:pPr>
        <w:pStyle w:val="Prrafodelista"/>
        <w:numPr>
          <w:ilvl w:val="0"/>
          <w:numId w:val="11"/>
        </w:numPr>
        <w:tabs>
          <w:tab w:val="left" w:pos="-142"/>
        </w:tabs>
        <w:spacing w:after="0" w:line="360" w:lineRule="auto"/>
        <w:ind w:left="0"/>
        <w:jc w:val="both"/>
        <w:rPr>
          <w:rFonts w:ascii="Arial" w:hAnsi="Arial" w:cs="Arial"/>
          <w:sz w:val="24"/>
          <w:szCs w:val="24"/>
        </w:rPr>
      </w:pPr>
      <w:r w:rsidRPr="00BF0098">
        <w:rPr>
          <w:rFonts w:ascii="Arial" w:hAnsi="Arial" w:cs="Arial"/>
          <w:sz w:val="24"/>
          <w:szCs w:val="24"/>
        </w:rPr>
        <w:t>Inmovilización en un sujeto joven y activo. En estos casos se produce una rápida resorción ósea con aumento de las concentraciones séricas de calcio e hipercalciuria, si esto excede a la capacidad renal para excretar se producirá hipercalcemia.</w:t>
      </w:r>
    </w:p>
    <w:p w:rsidR="003F55C3" w:rsidRPr="00BF0098" w:rsidRDefault="003F55C3" w:rsidP="00BF0098">
      <w:pPr>
        <w:pStyle w:val="Prrafodelista"/>
        <w:numPr>
          <w:ilvl w:val="0"/>
          <w:numId w:val="11"/>
        </w:numPr>
        <w:spacing w:after="0" w:line="360" w:lineRule="auto"/>
        <w:ind w:left="0"/>
        <w:jc w:val="both"/>
        <w:rPr>
          <w:rFonts w:ascii="Arial" w:hAnsi="Arial" w:cs="Arial"/>
          <w:sz w:val="24"/>
          <w:szCs w:val="24"/>
        </w:rPr>
      </w:pPr>
      <w:r w:rsidRPr="00BF0098">
        <w:rPr>
          <w:rFonts w:ascii="Arial" w:hAnsi="Arial" w:cs="Arial"/>
          <w:sz w:val="24"/>
          <w:szCs w:val="24"/>
        </w:rPr>
        <w:t>Neoplasias. La causa puede ser la presencia de metástasis óseas con resorción localizada o la elaboración por el tumor de un péptido parecido a la paratohormona con acciones similares a esta.</w:t>
      </w:r>
    </w:p>
    <w:p w:rsidR="003F55C3" w:rsidRPr="00BF0098" w:rsidRDefault="003F55C3" w:rsidP="00BF0098">
      <w:pPr>
        <w:pStyle w:val="Prrafodelista"/>
        <w:spacing w:line="360" w:lineRule="auto"/>
        <w:ind w:left="0"/>
        <w:jc w:val="both"/>
        <w:rPr>
          <w:rFonts w:ascii="Arial" w:hAnsi="Arial" w:cs="Arial"/>
          <w:b/>
          <w:sz w:val="24"/>
          <w:szCs w:val="24"/>
        </w:rPr>
      </w:pPr>
      <w:r w:rsidRPr="00BF0098">
        <w:rPr>
          <w:rFonts w:ascii="Arial" w:hAnsi="Arial" w:cs="Arial"/>
          <w:b/>
          <w:sz w:val="24"/>
          <w:szCs w:val="24"/>
        </w:rPr>
        <w:t>Cuadro clínico</w:t>
      </w:r>
    </w:p>
    <w:p w:rsidR="003F55C3" w:rsidRPr="00BF0098" w:rsidRDefault="003F55C3" w:rsidP="00BF0098">
      <w:pPr>
        <w:pStyle w:val="Prrafodelista"/>
        <w:spacing w:line="360" w:lineRule="auto"/>
        <w:ind w:left="0"/>
        <w:rPr>
          <w:rFonts w:ascii="Arial" w:hAnsi="Arial" w:cs="Arial"/>
          <w:b/>
          <w:sz w:val="24"/>
          <w:szCs w:val="24"/>
        </w:rPr>
      </w:pPr>
      <w:r w:rsidRPr="00BF0098">
        <w:rPr>
          <w:rFonts w:ascii="Arial" w:hAnsi="Arial" w:cs="Arial"/>
          <w:sz w:val="24"/>
          <w:szCs w:val="24"/>
        </w:rPr>
        <w:t xml:space="preserve">Ante cualquier paciente con hipercalcemia comprobada analíticamente es imprescindible realizar una        anamnesis y una historia y exploración clínica cuidadosas para determinar su origen. Se estudiará la función renal y la función tiroidea y se determinarán el fosfato sérico, </w:t>
      </w:r>
      <w:smartTag w:uri="urn:schemas-microsoft-com:office:smarttags" w:element="PersonName">
        <w:smartTagPr>
          <w:attr w:name="ProductID" w:val="la PTH"/>
        </w:smartTagPr>
        <w:r w:rsidRPr="00BF0098">
          <w:rPr>
            <w:rFonts w:ascii="Arial" w:hAnsi="Arial" w:cs="Arial"/>
            <w:sz w:val="24"/>
            <w:szCs w:val="24"/>
          </w:rPr>
          <w:t>la PTH</w:t>
        </w:r>
      </w:smartTag>
      <w:r w:rsidRPr="00BF0098">
        <w:rPr>
          <w:rFonts w:ascii="Arial" w:hAnsi="Arial" w:cs="Arial"/>
          <w:sz w:val="24"/>
          <w:szCs w:val="24"/>
        </w:rPr>
        <w:t>, el 1,25-(OH) vitamina D y la calciuria.</w:t>
      </w:r>
    </w:p>
    <w:p w:rsidR="003F55C3" w:rsidRPr="00BF0098" w:rsidRDefault="003F55C3" w:rsidP="00BF0098">
      <w:pPr>
        <w:pStyle w:val="Prrafodelista"/>
        <w:tabs>
          <w:tab w:val="left" w:pos="426"/>
        </w:tabs>
        <w:spacing w:line="360" w:lineRule="auto"/>
        <w:ind w:left="0" w:hanging="426"/>
        <w:jc w:val="both"/>
        <w:rPr>
          <w:rFonts w:ascii="Arial" w:hAnsi="Arial" w:cs="Arial"/>
          <w:sz w:val="24"/>
          <w:szCs w:val="24"/>
        </w:rPr>
      </w:pPr>
      <w:r w:rsidRPr="00BF0098">
        <w:rPr>
          <w:rFonts w:ascii="Arial" w:hAnsi="Arial" w:cs="Arial"/>
          <w:sz w:val="24"/>
          <w:szCs w:val="24"/>
        </w:rPr>
        <w:t xml:space="preserve">       La gran variabilidad clínica de la hipercalcemia es debida a la edad del paciente, a la presencia de   condiciones médicas simultáneas, a la duración de la hipercalcemia y a la velocidad de incremento de la concentración de calcio. </w:t>
      </w:r>
      <w:r w:rsidRPr="00BF0098">
        <w:rPr>
          <w:rFonts w:ascii="Arial" w:hAnsi="Arial" w:cs="Arial"/>
          <w:sz w:val="24"/>
          <w:szCs w:val="24"/>
        </w:rPr>
        <w:lastRenderedPageBreak/>
        <w:t>Los síntomas de hipercalcemia aparecen habitualmente cuando la calcemia total alcanza los 12mg/dL.</w:t>
      </w:r>
    </w:p>
    <w:p w:rsidR="003F55C3" w:rsidRPr="00BF0098" w:rsidRDefault="003F55C3" w:rsidP="00BF0098">
      <w:pPr>
        <w:pStyle w:val="Prrafodelista"/>
        <w:tabs>
          <w:tab w:val="left" w:pos="426"/>
        </w:tabs>
        <w:spacing w:line="360" w:lineRule="auto"/>
        <w:ind w:left="0" w:hanging="426"/>
        <w:jc w:val="both"/>
        <w:rPr>
          <w:rFonts w:ascii="Arial" w:hAnsi="Arial" w:cs="Arial"/>
          <w:sz w:val="24"/>
          <w:szCs w:val="24"/>
        </w:rPr>
      </w:pPr>
      <w:r w:rsidRPr="00BF0098">
        <w:rPr>
          <w:rFonts w:ascii="Arial" w:hAnsi="Arial" w:cs="Arial"/>
          <w:sz w:val="24"/>
          <w:szCs w:val="24"/>
        </w:rPr>
        <w:t>Las manifestaciones clínicas repercuten en diferentes órganos y sistemas:</w:t>
      </w:r>
    </w:p>
    <w:p w:rsidR="003F55C3" w:rsidRPr="00BF0098" w:rsidRDefault="003F55C3" w:rsidP="00BF0098">
      <w:pPr>
        <w:pStyle w:val="Prrafodelista"/>
        <w:numPr>
          <w:ilvl w:val="0"/>
          <w:numId w:val="12"/>
        </w:numPr>
        <w:spacing w:after="0" w:line="360" w:lineRule="auto"/>
        <w:ind w:left="0"/>
        <w:jc w:val="both"/>
        <w:rPr>
          <w:rFonts w:ascii="Arial" w:hAnsi="Arial" w:cs="Arial"/>
          <w:sz w:val="24"/>
          <w:szCs w:val="24"/>
        </w:rPr>
      </w:pPr>
      <w:r w:rsidRPr="00BF0098">
        <w:rPr>
          <w:rFonts w:ascii="Arial" w:hAnsi="Arial" w:cs="Arial"/>
          <w:sz w:val="24"/>
          <w:szCs w:val="24"/>
        </w:rPr>
        <w:t>Afecciones renales: nicturia, litiasis, nefrocalcinosis, poliuria, insuficiencia renal.</w:t>
      </w:r>
    </w:p>
    <w:p w:rsidR="003F55C3" w:rsidRPr="00BF0098" w:rsidRDefault="003F55C3" w:rsidP="00BF0098">
      <w:pPr>
        <w:pStyle w:val="Prrafodelista"/>
        <w:numPr>
          <w:ilvl w:val="0"/>
          <w:numId w:val="12"/>
        </w:numPr>
        <w:spacing w:after="0" w:line="360" w:lineRule="auto"/>
        <w:ind w:left="0"/>
        <w:jc w:val="both"/>
        <w:rPr>
          <w:rFonts w:ascii="Arial" w:hAnsi="Arial" w:cs="Arial"/>
          <w:sz w:val="24"/>
          <w:szCs w:val="24"/>
        </w:rPr>
      </w:pPr>
      <w:r w:rsidRPr="00BF0098">
        <w:rPr>
          <w:rFonts w:ascii="Arial" w:hAnsi="Arial" w:cs="Arial"/>
          <w:sz w:val="24"/>
          <w:szCs w:val="24"/>
        </w:rPr>
        <w:t>Afecciones digestivas: anorexia, polidipsia, dolor abdominal, náuseas, vómitos, constipación.</w:t>
      </w:r>
    </w:p>
    <w:p w:rsidR="003F55C3" w:rsidRPr="00BF0098" w:rsidRDefault="003F55C3" w:rsidP="00BF0098">
      <w:pPr>
        <w:pStyle w:val="Prrafodelista"/>
        <w:numPr>
          <w:ilvl w:val="0"/>
          <w:numId w:val="12"/>
        </w:numPr>
        <w:spacing w:after="0" w:line="360" w:lineRule="auto"/>
        <w:ind w:left="0"/>
        <w:jc w:val="both"/>
        <w:rPr>
          <w:rFonts w:ascii="Arial" w:hAnsi="Arial" w:cs="Arial"/>
          <w:sz w:val="24"/>
          <w:szCs w:val="24"/>
        </w:rPr>
      </w:pPr>
      <w:r w:rsidRPr="00BF0098">
        <w:rPr>
          <w:rFonts w:ascii="Arial" w:hAnsi="Arial" w:cs="Arial"/>
          <w:sz w:val="24"/>
          <w:szCs w:val="24"/>
        </w:rPr>
        <w:t>Afecciones neurológicas: debilidad muscular, hiporreflexia, queratopatía, letargia, confusión, convulsiones y coma.</w:t>
      </w:r>
    </w:p>
    <w:p w:rsidR="003F55C3" w:rsidRPr="00BF0098" w:rsidRDefault="003F55C3" w:rsidP="00BF0098">
      <w:pPr>
        <w:pStyle w:val="Prrafodelista"/>
        <w:numPr>
          <w:ilvl w:val="0"/>
          <w:numId w:val="12"/>
        </w:numPr>
        <w:spacing w:after="0" w:line="360" w:lineRule="auto"/>
        <w:ind w:left="0"/>
        <w:jc w:val="both"/>
        <w:rPr>
          <w:rFonts w:ascii="Arial" w:hAnsi="Arial" w:cs="Arial"/>
          <w:sz w:val="24"/>
          <w:szCs w:val="24"/>
        </w:rPr>
      </w:pPr>
      <w:r w:rsidRPr="00BF0098">
        <w:rPr>
          <w:rFonts w:ascii="Arial" w:hAnsi="Arial" w:cs="Arial"/>
          <w:sz w:val="24"/>
          <w:szCs w:val="24"/>
        </w:rPr>
        <w:t>Afecciones cardiovasculares: aumento de la contractilidad, se asocia con hipopotasemia, aumenta la automaticidad cardíaca con riesgo de arritmias (fibrilación ventricular), hipertensión arterial.</w:t>
      </w:r>
    </w:p>
    <w:p w:rsidR="003F55C3" w:rsidRPr="00BF0098" w:rsidRDefault="003F55C3" w:rsidP="00BF0098">
      <w:pPr>
        <w:pStyle w:val="Prrafodelista"/>
        <w:spacing w:line="360" w:lineRule="auto"/>
        <w:ind w:left="0"/>
        <w:jc w:val="both"/>
        <w:rPr>
          <w:rFonts w:ascii="Arial" w:hAnsi="Arial" w:cs="Arial"/>
          <w:b/>
          <w:sz w:val="24"/>
          <w:szCs w:val="24"/>
        </w:rPr>
      </w:pPr>
      <w:r w:rsidRPr="00BF0098">
        <w:rPr>
          <w:rFonts w:ascii="Arial" w:hAnsi="Arial" w:cs="Arial"/>
          <w:b/>
          <w:sz w:val="24"/>
          <w:szCs w:val="24"/>
        </w:rPr>
        <w:t>Diagnostico</w:t>
      </w:r>
    </w:p>
    <w:p w:rsidR="003F55C3" w:rsidRPr="00BF0098" w:rsidRDefault="003F55C3" w:rsidP="00BF0098">
      <w:pPr>
        <w:pStyle w:val="Prrafodelista"/>
        <w:spacing w:line="360" w:lineRule="auto"/>
        <w:ind w:left="0"/>
        <w:jc w:val="both"/>
        <w:rPr>
          <w:rFonts w:ascii="Arial" w:hAnsi="Arial" w:cs="Arial"/>
          <w:sz w:val="24"/>
          <w:szCs w:val="24"/>
        </w:rPr>
      </w:pPr>
      <w:r w:rsidRPr="00BF0098">
        <w:rPr>
          <w:rFonts w:ascii="Arial" w:hAnsi="Arial" w:cs="Arial"/>
          <w:sz w:val="24"/>
          <w:szCs w:val="24"/>
        </w:rPr>
        <w:t>Cuadro clínico</w:t>
      </w:r>
    </w:p>
    <w:p w:rsidR="003F55C3" w:rsidRPr="00BF0098" w:rsidRDefault="003F55C3" w:rsidP="00BF0098">
      <w:pPr>
        <w:pStyle w:val="Prrafodelista"/>
        <w:spacing w:line="360" w:lineRule="auto"/>
        <w:rPr>
          <w:rFonts w:ascii="Arial" w:hAnsi="Arial" w:cs="Arial"/>
          <w:sz w:val="24"/>
          <w:szCs w:val="24"/>
        </w:rPr>
      </w:pPr>
      <w:r w:rsidRPr="00BF0098">
        <w:rPr>
          <w:rFonts w:ascii="Arial" w:hAnsi="Arial" w:cs="Arial"/>
          <w:sz w:val="24"/>
          <w:szCs w:val="24"/>
        </w:rPr>
        <w:t>Antecedentes patológicos personales y familiares.</w:t>
      </w:r>
    </w:p>
    <w:p w:rsidR="003F55C3" w:rsidRPr="00BF0098" w:rsidRDefault="003F55C3" w:rsidP="00BF0098">
      <w:pPr>
        <w:pStyle w:val="Prrafodelista"/>
        <w:spacing w:line="360" w:lineRule="auto"/>
        <w:ind w:left="0"/>
        <w:jc w:val="both"/>
        <w:rPr>
          <w:rFonts w:ascii="Arial" w:hAnsi="Arial" w:cs="Arial"/>
          <w:sz w:val="24"/>
          <w:szCs w:val="24"/>
        </w:rPr>
      </w:pPr>
      <w:r w:rsidRPr="00BF0098">
        <w:rPr>
          <w:rFonts w:ascii="Arial" w:hAnsi="Arial" w:cs="Arial"/>
          <w:sz w:val="24"/>
          <w:szCs w:val="24"/>
        </w:rPr>
        <w:t>Determinación de los valores sanguíneos de paratohormona.</w:t>
      </w:r>
    </w:p>
    <w:p w:rsidR="003F55C3" w:rsidRPr="00BF0098" w:rsidRDefault="003F55C3" w:rsidP="00BF0098">
      <w:pPr>
        <w:pStyle w:val="Prrafodelista"/>
        <w:spacing w:line="360" w:lineRule="auto"/>
        <w:ind w:left="0"/>
        <w:jc w:val="both"/>
        <w:rPr>
          <w:rFonts w:ascii="Arial" w:hAnsi="Arial" w:cs="Arial"/>
          <w:sz w:val="24"/>
          <w:szCs w:val="24"/>
        </w:rPr>
      </w:pPr>
      <w:r w:rsidRPr="00BF0098">
        <w:rPr>
          <w:rFonts w:ascii="Arial" w:hAnsi="Arial" w:cs="Arial"/>
          <w:sz w:val="24"/>
          <w:szCs w:val="24"/>
        </w:rPr>
        <w:t>Hipofosfatemia.</w:t>
      </w:r>
    </w:p>
    <w:p w:rsidR="003F55C3" w:rsidRPr="00BF0098" w:rsidRDefault="003F55C3" w:rsidP="00BF0098">
      <w:pPr>
        <w:pStyle w:val="Prrafodelista"/>
        <w:spacing w:line="360" w:lineRule="auto"/>
        <w:ind w:left="0"/>
        <w:jc w:val="both"/>
        <w:rPr>
          <w:rFonts w:ascii="Arial" w:hAnsi="Arial" w:cs="Arial"/>
          <w:sz w:val="24"/>
          <w:szCs w:val="24"/>
        </w:rPr>
      </w:pPr>
      <w:r w:rsidRPr="00BF0098">
        <w:rPr>
          <w:rFonts w:ascii="Arial" w:hAnsi="Arial" w:cs="Arial"/>
          <w:sz w:val="24"/>
          <w:szCs w:val="24"/>
        </w:rPr>
        <w:t>Fosfatasa alcalina elevada.</w:t>
      </w:r>
    </w:p>
    <w:p w:rsidR="003F55C3" w:rsidRPr="00BF0098" w:rsidRDefault="003F55C3" w:rsidP="00BF0098">
      <w:pPr>
        <w:pStyle w:val="Prrafodelista"/>
        <w:spacing w:line="360" w:lineRule="auto"/>
        <w:ind w:left="0"/>
        <w:jc w:val="both"/>
        <w:rPr>
          <w:rFonts w:ascii="Arial" w:hAnsi="Arial" w:cs="Arial"/>
          <w:sz w:val="24"/>
          <w:szCs w:val="24"/>
        </w:rPr>
      </w:pPr>
      <w:r w:rsidRPr="00BF0098">
        <w:rPr>
          <w:rFonts w:ascii="Arial" w:hAnsi="Arial" w:cs="Arial"/>
          <w:sz w:val="24"/>
          <w:szCs w:val="24"/>
        </w:rPr>
        <w:t>Aumento del AMPcíclico urinario</w:t>
      </w:r>
    </w:p>
    <w:p w:rsidR="003F55C3" w:rsidRPr="00BF0098" w:rsidRDefault="003F55C3" w:rsidP="00BF0098">
      <w:pPr>
        <w:pStyle w:val="Prrafodelista"/>
        <w:spacing w:line="360" w:lineRule="auto"/>
        <w:ind w:left="0"/>
        <w:jc w:val="both"/>
        <w:rPr>
          <w:rFonts w:ascii="Arial" w:hAnsi="Arial" w:cs="Arial"/>
          <w:sz w:val="24"/>
          <w:szCs w:val="24"/>
        </w:rPr>
      </w:pPr>
      <w:r w:rsidRPr="00BF0098">
        <w:rPr>
          <w:rFonts w:ascii="Arial" w:hAnsi="Arial" w:cs="Arial"/>
          <w:sz w:val="24"/>
          <w:szCs w:val="24"/>
        </w:rPr>
        <w:t>Rayos X óseo: fracturas patológicas, osteítis fibrosa, resorción subperióstica, desminerlización generalizada y formación de quistes.</w:t>
      </w:r>
    </w:p>
    <w:p w:rsidR="003F55C3" w:rsidRPr="00BF0098" w:rsidRDefault="003F55C3" w:rsidP="00BF0098">
      <w:pPr>
        <w:pStyle w:val="Prrafodelista"/>
        <w:spacing w:line="360" w:lineRule="auto"/>
        <w:ind w:left="0"/>
        <w:jc w:val="both"/>
        <w:rPr>
          <w:rFonts w:ascii="Arial" w:hAnsi="Arial" w:cs="Arial"/>
          <w:b/>
          <w:sz w:val="24"/>
          <w:szCs w:val="24"/>
        </w:rPr>
      </w:pPr>
      <w:r w:rsidRPr="00BF0098">
        <w:rPr>
          <w:rFonts w:ascii="Arial" w:hAnsi="Arial" w:cs="Arial"/>
          <w:b/>
          <w:sz w:val="24"/>
          <w:szCs w:val="24"/>
        </w:rPr>
        <w:t>Tratamiento</w:t>
      </w:r>
    </w:p>
    <w:p w:rsidR="003F55C3" w:rsidRPr="00BF0098" w:rsidRDefault="003F55C3" w:rsidP="00BF0098">
      <w:pPr>
        <w:pStyle w:val="Prrafodelista"/>
        <w:spacing w:line="360" w:lineRule="auto"/>
        <w:ind w:left="0"/>
        <w:jc w:val="both"/>
        <w:rPr>
          <w:rFonts w:ascii="Arial" w:hAnsi="Arial" w:cs="Arial"/>
          <w:sz w:val="24"/>
          <w:szCs w:val="24"/>
        </w:rPr>
      </w:pPr>
      <w:r w:rsidRPr="00BF0098">
        <w:rPr>
          <w:rFonts w:ascii="Arial" w:hAnsi="Arial" w:cs="Arial"/>
          <w:sz w:val="24"/>
          <w:szCs w:val="24"/>
        </w:rPr>
        <w:t>El tratamiento definitivo es el de una causa.</w:t>
      </w:r>
    </w:p>
    <w:p w:rsidR="003F55C3" w:rsidRPr="00BF0098" w:rsidRDefault="003F55C3" w:rsidP="00BF0098">
      <w:pPr>
        <w:pStyle w:val="Prrafodelista"/>
        <w:spacing w:line="360" w:lineRule="auto"/>
        <w:ind w:left="0"/>
        <w:jc w:val="both"/>
        <w:rPr>
          <w:rFonts w:ascii="Arial" w:hAnsi="Arial" w:cs="Arial"/>
          <w:sz w:val="24"/>
          <w:szCs w:val="24"/>
        </w:rPr>
      </w:pPr>
      <w:r w:rsidRPr="00BF0098">
        <w:rPr>
          <w:rFonts w:ascii="Arial" w:hAnsi="Arial" w:cs="Arial"/>
          <w:sz w:val="24"/>
          <w:szCs w:val="24"/>
        </w:rPr>
        <w:t xml:space="preserve">Inicialmente se administrarán </w:t>
      </w:r>
      <w:smartTag w:uri="urn:schemas-microsoft-com:office:smarttags" w:element="metricconverter">
        <w:smartTagPr>
          <w:attr w:name="ProductID" w:val="100 a"/>
        </w:smartTagPr>
        <w:r w:rsidRPr="00BF0098">
          <w:rPr>
            <w:rFonts w:ascii="Arial" w:hAnsi="Arial" w:cs="Arial"/>
            <w:sz w:val="24"/>
            <w:szCs w:val="24"/>
          </w:rPr>
          <w:t>100 a</w:t>
        </w:r>
      </w:smartTag>
      <w:r w:rsidRPr="00BF0098">
        <w:rPr>
          <w:rFonts w:ascii="Arial" w:hAnsi="Arial" w:cs="Arial"/>
          <w:sz w:val="24"/>
          <w:szCs w:val="24"/>
        </w:rPr>
        <w:t xml:space="preserve"> 200 ml/ m</w:t>
      </w:r>
      <w:r w:rsidRPr="00BF0098">
        <w:rPr>
          <w:rFonts w:ascii="Arial" w:hAnsi="Arial" w:cs="Arial"/>
          <w:sz w:val="24"/>
          <w:szCs w:val="24"/>
          <w:vertAlign w:val="superscript"/>
        </w:rPr>
        <w:t>2</w:t>
      </w:r>
      <w:r w:rsidRPr="00BF0098">
        <w:rPr>
          <w:rFonts w:ascii="Arial" w:hAnsi="Arial" w:cs="Arial"/>
          <w:sz w:val="24"/>
          <w:szCs w:val="24"/>
        </w:rPr>
        <w:t xml:space="preserve">/ hora de suero fisiológico y furosemida </w:t>
      </w:r>
      <w:smartTag w:uri="urn:schemas-microsoft-com:office:smarttags" w:element="metricconverter">
        <w:smartTagPr>
          <w:attr w:name="ProductID" w:val="1 a"/>
        </w:smartTagPr>
        <w:r w:rsidRPr="00BF0098">
          <w:rPr>
            <w:rFonts w:ascii="Arial" w:hAnsi="Arial" w:cs="Arial"/>
            <w:sz w:val="24"/>
            <w:szCs w:val="24"/>
          </w:rPr>
          <w:t>1 a</w:t>
        </w:r>
      </w:smartTag>
      <w:r w:rsidRPr="00BF0098">
        <w:rPr>
          <w:rFonts w:ascii="Arial" w:hAnsi="Arial" w:cs="Arial"/>
          <w:sz w:val="24"/>
          <w:szCs w:val="24"/>
        </w:rPr>
        <w:t xml:space="preserve"> 3 mg/ Kg/ dosis cada 2 o 4 horas. La hidratación se ajustará posteriormente, según la tolerancia hemodinámica y el grado de hipercalcemia, con el fin de administrar entre 1,5 y 2,5 L/ m</w:t>
      </w:r>
      <w:r w:rsidRPr="00BF0098">
        <w:rPr>
          <w:rFonts w:ascii="Arial" w:hAnsi="Arial" w:cs="Arial"/>
          <w:sz w:val="24"/>
          <w:szCs w:val="24"/>
          <w:vertAlign w:val="superscript"/>
        </w:rPr>
        <w:t xml:space="preserve">2  </w:t>
      </w:r>
      <w:r w:rsidRPr="00BF0098">
        <w:rPr>
          <w:rFonts w:ascii="Arial" w:hAnsi="Arial" w:cs="Arial"/>
          <w:sz w:val="24"/>
          <w:szCs w:val="24"/>
        </w:rPr>
        <w:t>/día de salino isotónico.</w:t>
      </w:r>
    </w:p>
    <w:p w:rsidR="003F55C3" w:rsidRPr="00BF0098" w:rsidRDefault="003F55C3" w:rsidP="00BF0098">
      <w:pPr>
        <w:pStyle w:val="Prrafodelista"/>
        <w:spacing w:line="360" w:lineRule="auto"/>
        <w:ind w:left="0"/>
        <w:jc w:val="both"/>
        <w:rPr>
          <w:rFonts w:ascii="Arial" w:hAnsi="Arial" w:cs="Arial"/>
          <w:sz w:val="24"/>
          <w:szCs w:val="24"/>
        </w:rPr>
      </w:pPr>
      <w:r w:rsidRPr="00BF0098">
        <w:rPr>
          <w:rFonts w:ascii="Arial" w:hAnsi="Arial" w:cs="Arial"/>
          <w:sz w:val="24"/>
          <w:szCs w:val="24"/>
        </w:rPr>
        <w:t>El estado hemodinámico y de hidratación del paciente así como el fósforo, sodio, potasio, magnesio y la función renal deberán ser monitorizados con frecuencia. El resultado de la terapia se reevaluará cada 6 horas.</w:t>
      </w:r>
    </w:p>
    <w:p w:rsidR="003F55C3" w:rsidRPr="00BF0098" w:rsidRDefault="003F55C3" w:rsidP="00BF0098">
      <w:pPr>
        <w:pStyle w:val="Prrafodelista"/>
        <w:spacing w:line="360" w:lineRule="auto"/>
        <w:ind w:left="0"/>
        <w:jc w:val="both"/>
        <w:rPr>
          <w:rFonts w:ascii="Arial" w:hAnsi="Arial" w:cs="Arial"/>
          <w:sz w:val="24"/>
          <w:szCs w:val="24"/>
        </w:rPr>
      </w:pPr>
      <w:r w:rsidRPr="00BF0098">
        <w:rPr>
          <w:rFonts w:ascii="Arial" w:hAnsi="Arial" w:cs="Arial"/>
          <w:sz w:val="24"/>
          <w:szCs w:val="24"/>
        </w:rPr>
        <w:t xml:space="preserve">Los biofosfonatos se caracterizan por tener un prolongado efecto inhibitorio de la reabsorción ósea mediada por osteoclastos. Hay tres biofosfonatos disponibles actualmente en el mundo: etiodronato, pamidronato y el clodronato. El uso de biofosfonatos está indicado en pacientes con hipercalcemia grave, </w:t>
      </w:r>
      <w:r w:rsidRPr="00BF0098">
        <w:rPr>
          <w:rFonts w:ascii="Arial" w:hAnsi="Arial" w:cs="Arial"/>
          <w:sz w:val="24"/>
          <w:szCs w:val="24"/>
        </w:rPr>
        <w:lastRenderedPageBreak/>
        <w:t>pero clínicamente estables y no se precise una reducción urgente de los niveles de calcio.</w:t>
      </w:r>
    </w:p>
    <w:p w:rsidR="003F55C3" w:rsidRPr="00BF0098" w:rsidRDefault="003F55C3" w:rsidP="00BF0098">
      <w:pPr>
        <w:pStyle w:val="Prrafodelista"/>
        <w:spacing w:line="360" w:lineRule="auto"/>
        <w:ind w:left="0"/>
        <w:jc w:val="both"/>
        <w:rPr>
          <w:rFonts w:ascii="Arial" w:hAnsi="Arial" w:cs="Arial"/>
          <w:sz w:val="24"/>
          <w:szCs w:val="24"/>
        </w:rPr>
      </w:pPr>
      <w:r w:rsidRPr="00BF0098">
        <w:rPr>
          <w:rFonts w:ascii="Arial" w:hAnsi="Arial" w:cs="Arial"/>
          <w:sz w:val="24"/>
          <w:szCs w:val="24"/>
        </w:rPr>
        <w:t xml:space="preserve">Etiodronato: 7,5 mg/ Kg/ día en infusión EV de 4 horas, una vez al día durante </w:t>
      </w:r>
      <w:smartTag w:uri="urn:schemas-microsoft-com:office:smarttags" w:element="metricconverter">
        <w:smartTagPr>
          <w:attr w:name="ProductID" w:val="3 a"/>
        </w:smartTagPr>
        <w:r w:rsidRPr="00BF0098">
          <w:rPr>
            <w:rFonts w:ascii="Arial" w:hAnsi="Arial" w:cs="Arial"/>
            <w:sz w:val="24"/>
            <w:szCs w:val="24"/>
          </w:rPr>
          <w:t>3 a</w:t>
        </w:r>
      </w:smartTag>
      <w:r w:rsidRPr="00BF0098">
        <w:rPr>
          <w:rFonts w:ascii="Arial" w:hAnsi="Arial" w:cs="Arial"/>
          <w:sz w:val="24"/>
          <w:szCs w:val="24"/>
        </w:rPr>
        <w:t xml:space="preserve"> 7 días. La concentración sérica de calcio empieza a disminuir a los 2 días y alcanza su nadir al 7</w:t>
      </w:r>
      <w:r w:rsidRPr="00BF0098">
        <w:rPr>
          <w:rFonts w:ascii="Arial" w:hAnsi="Arial" w:cs="Arial"/>
          <w:sz w:val="24"/>
          <w:szCs w:val="24"/>
          <w:vertAlign w:val="superscript"/>
        </w:rPr>
        <w:t xml:space="preserve">mo </w:t>
      </w:r>
      <w:r w:rsidRPr="00BF0098">
        <w:rPr>
          <w:rFonts w:ascii="Arial" w:hAnsi="Arial" w:cs="Arial"/>
          <w:sz w:val="24"/>
          <w:szCs w:val="24"/>
        </w:rPr>
        <w:t>día.</w:t>
      </w:r>
    </w:p>
    <w:p w:rsidR="003F55C3" w:rsidRPr="00BF0098" w:rsidRDefault="003F55C3" w:rsidP="00BF0098">
      <w:pPr>
        <w:pStyle w:val="Prrafodelista"/>
        <w:spacing w:line="360" w:lineRule="auto"/>
        <w:ind w:left="0"/>
        <w:jc w:val="both"/>
        <w:rPr>
          <w:rFonts w:ascii="Arial" w:hAnsi="Arial" w:cs="Arial"/>
          <w:sz w:val="24"/>
          <w:szCs w:val="24"/>
        </w:rPr>
      </w:pPr>
      <w:r w:rsidRPr="00BF0098">
        <w:rPr>
          <w:rFonts w:ascii="Arial" w:hAnsi="Arial" w:cs="Arial"/>
          <w:sz w:val="24"/>
          <w:szCs w:val="24"/>
        </w:rPr>
        <w:t xml:space="preserve">Clodronato: 4 – 6 mg/ Kg/ día en infusión EV de </w:t>
      </w:r>
      <w:smartTag w:uri="urn:schemas-microsoft-com:office:smarttags" w:element="metricconverter">
        <w:smartTagPr>
          <w:attr w:name="ProductID" w:val="2 a"/>
        </w:smartTagPr>
        <w:r w:rsidRPr="00BF0098">
          <w:rPr>
            <w:rFonts w:ascii="Arial" w:hAnsi="Arial" w:cs="Arial"/>
            <w:sz w:val="24"/>
            <w:szCs w:val="24"/>
          </w:rPr>
          <w:t>2 a</w:t>
        </w:r>
      </w:smartTag>
      <w:r w:rsidRPr="00BF0098">
        <w:rPr>
          <w:rFonts w:ascii="Arial" w:hAnsi="Arial" w:cs="Arial"/>
          <w:sz w:val="24"/>
          <w:szCs w:val="24"/>
        </w:rPr>
        <w:t xml:space="preserve"> 5 horas, una vez al día durante </w:t>
      </w:r>
      <w:smartTag w:uri="urn:schemas-microsoft-com:office:smarttags" w:element="metricconverter">
        <w:smartTagPr>
          <w:attr w:name="ProductID" w:val="3 a"/>
        </w:smartTagPr>
        <w:r w:rsidRPr="00BF0098">
          <w:rPr>
            <w:rFonts w:ascii="Arial" w:hAnsi="Arial" w:cs="Arial"/>
            <w:sz w:val="24"/>
            <w:szCs w:val="24"/>
          </w:rPr>
          <w:t>3 a</w:t>
        </w:r>
      </w:smartTag>
      <w:r w:rsidRPr="00BF0098">
        <w:rPr>
          <w:rFonts w:ascii="Arial" w:hAnsi="Arial" w:cs="Arial"/>
          <w:sz w:val="24"/>
          <w:szCs w:val="24"/>
        </w:rPr>
        <w:t xml:space="preserve"> 5 días, o en una infusión EV única administrada durante </w:t>
      </w:r>
      <w:smartTag w:uri="urn:schemas-microsoft-com:office:smarttags" w:element="metricconverter">
        <w:smartTagPr>
          <w:attr w:name="ProductID" w:val="2 a"/>
        </w:smartTagPr>
        <w:r w:rsidRPr="00BF0098">
          <w:rPr>
            <w:rFonts w:ascii="Arial" w:hAnsi="Arial" w:cs="Arial"/>
            <w:sz w:val="24"/>
            <w:szCs w:val="24"/>
          </w:rPr>
          <w:t>2 a</w:t>
        </w:r>
      </w:smartTag>
      <w:r w:rsidRPr="00BF0098">
        <w:rPr>
          <w:rFonts w:ascii="Arial" w:hAnsi="Arial" w:cs="Arial"/>
          <w:sz w:val="24"/>
          <w:szCs w:val="24"/>
        </w:rPr>
        <w:t xml:space="preserve"> 9 horas.</w:t>
      </w:r>
    </w:p>
    <w:p w:rsidR="003F55C3" w:rsidRPr="00BF0098" w:rsidRDefault="003F55C3" w:rsidP="00BF0098">
      <w:pPr>
        <w:pStyle w:val="Prrafodelista"/>
        <w:spacing w:line="360" w:lineRule="auto"/>
        <w:ind w:left="0"/>
        <w:jc w:val="both"/>
        <w:rPr>
          <w:rFonts w:ascii="Arial" w:hAnsi="Arial" w:cs="Arial"/>
          <w:sz w:val="24"/>
          <w:szCs w:val="24"/>
        </w:rPr>
      </w:pPr>
      <w:r w:rsidRPr="00BF0098">
        <w:rPr>
          <w:rFonts w:ascii="Arial" w:hAnsi="Arial" w:cs="Arial"/>
          <w:sz w:val="24"/>
          <w:szCs w:val="24"/>
        </w:rPr>
        <w:t xml:space="preserve">Calcitonina: 3-6 U MRC (Medical Research Council)/ Kg/ día en perfusión intravenosa continua, de </w:t>
      </w:r>
      <w:smartTag w:uri="urn:schemas-microsoft-com:office:smarttags" w:element="metricconverter">
        <w:smartTagPr>
          <w:attr w:name="ProductID" w:val="1 a"/>
        </w:smartTagPr>
        <w:r w:rsidRPr="00BF0098">
          <w:rPr>
            <w:rFonts w:ascii="Arial" w:hAnsi="Arial" w:cs="Arial"/>
            <w:sz w:val="24"/>
            <w:szCs w:val="24"/>
          </w:rPr>
          <w:t>1 a</w:t>
        </w:r>
      </w:smartTag>
      <w:r w:rsidRPr="00BF0098">
        <w:rPr>
          <w:rFonts w:ascii="Arial" w:hAnsi="Arial" w:cs="Arial"/>
          <w:sz w:val="24"/>
          <w:szCs w:val="24"/>
        </w:rPr>
        <w:t xml:space="preserve"> 6 días, puede asociarse para evitar resistencia con Prednisona 1 mg/ Kg / día.</w:t>
      </w:r>
    </w:p>
    <w:p w:rsidR="003F55C3" w:rsidRPr="00BF0098" w:rsidRDefault="003F55C3" w:rsidP="00BF0098">
      <w:pPr>
        <w:pStyle w:val="Prrafodelista"/>
        <w:spacing w:line="360" w:lineRule="auto"/>
        <w:ind w:left="0"/>
        <w:jc w:val="both"/>
        <w:rPr>
          <w:rFonts w:ascii="Arial" w:hAnsi="Arial" w:cs="Arial"/>
          <w:sz w:val="24"/>
          <w:szCs w:val="24"/>
        </w:rPr>
      </w:pPr>
      <w:r w:rsidRPr="00BF0098">
        <w:rPr>
          <w:rFonts w:ascii="Arial" w:hAnsi="Arial" w:cs="Arial"/>
          <w:sz w:val="24"/>
          <w:szCs w:val="24"/>
        </w:rPr>
        <w:t>Mitramicina: 10 – 25 µgr/ Kg en infusión intravenosa rápida cada 3 ó 4 días, su efecto hipocalcémico se inicia a las 12 horas, y es máximo a las 48 – 72 horas de su administración. La toxicidad hepática, renal y hematológica (trombocitopenia) limitan su utilidad.</w:t>
      </w:r>
    </w:p>
    <w:p w:rsidR="003F55C3" w:rsidRPr="00BF0098" w:rsidRDefault="003F55C3" w:rsidP="00BF0098">
      <w:pPr>
        <w:pStyle w:val="Prrafodelista"/>
        <w:spacing w:line="360" w:lineRule="auto"/>
        <w:ind w:left="0"/>
        <w:jc w:val="both"/>
        <w:rPr>
          <w:rFonts w:ascii="Arial" w:hAnsi="Arial" w:cs="Arial"/>
          <w:sz w:val="24"/>
          <w:szCs w:val="24"/>
        </w:rPr>
      </w:pPr>
    </w:p>
    <w:p w:rsidR="003F55C3" w:rsidRPr="00BF0098" w:rsidRDefault="003F55C3" w:rsidP="00BF0098">
      <w:pPr>
        <w:pStyle w:val="Prrafodelista"/>
        <w:numPr>
          <w:ilvl w:val="0"/>
          <w:numId w:val="13"/>
        </w:numPr>
        <w:spacing w:after="0" w:line="360" w:lineRule="auto"/>
        <w:ind w:left="0"/>
        <w:jc w:val="both"/>
        <w:rPr>
          <w:rFonts w:ascii="Arial" w:hAnsi="Arial" w:cs="Arial"/>
          <w:sz w:val="24"/>
          <w:szCs w:val="24"/>
        </w:rPr>
      </w:pPr>
      <w:r w:rsidRPr="00BF0098">
        <w:rPr>
          <w:rFonts w:ascii="Arial" w:hAnsi="Arial" w:cs="Arial"/>
          <w:sz w:val="24"/>
          <w:szCs w:val="24"/>
        </w:rPr>
        <w:t xml:space="preserve">Cuando la monitorización de calcio disminuye de </w:t>
      </w:r>
      <w:smartTag w:uri="urn:schemas-microsoft-com:office:smarttags" w:element="metricconverter">
        <w:smartTagPr>
          <w:attr w:name="ProductID" w:val="2 a"/>
        </w:smartTagPr>
        <w:r w:rsidRPr="00BF0098">
          <w:rPr>
            <w:rFonts w:ascii="Arial" w:hAnsi="Arial" w:cs="Arial"/>
            <w:sz w:val="24"/>
            <w:szCs w:val="24"/>
          </w:rPr>
          <w:t>2 a</w:t>
        </w:r>
      </w:smartTag>
      <w:r w:rsidRPr="00BF0098">
        <w:rPr>
          <w:rFonts w:ascii="Arial" w:hAnsi="Arial" w:cs="Arial"/>
          <w:sz w:val="24"/>
          <w:szCs w:val="24"/>
        </w:rPr>
        <w:t xml:space="preserve"> 3 mg/dl se interrumpe el tratamiento.</w:t>
      </w:r>
    </w:p>
    <w:p w:rsidR="003F55C3" w:rsidRPr="00BF0098" w:rsidRDefault="003F55C3" w:rsidP="00BF0098">
      <w:pPr>
        <w:pStyle w:val="Prrafodelista"/>
        <w:numPr>
          <w:ilvl w:val="0"/>
          <w:numId w:val="13"/>
        </w:numPr>
        <w:spacing w:after="0" w:line="360" w:lineRule="auto"/>
        <w:ind w:left="0"/>
        <w:jc w:val="both"/>
        <w:rPr>
          <w:rFonts w:ascii="Arial" w:hAnsi="Arial" w:cs="Arial"/>
          <w:sz w:val="24"/>
          <w:szCs w:val="24"/>
        </w:rPr>
      </w:pPr>
      <w:r w:rsidRPr="00BF0098">
        <w:rPr>
          <w:rFonts w:ascii="Arial" w:hAnsi="Arial" w:cs="Arial"/>
          <w:sz w:val="24"/>
          <w:szCs w:val="24"/>
        </w:rPr>
        <w:t>Evitar el uso de diuréticos tiazídicos.</w:t>
      </w:r>
    </w:p>
    <w:p w:rsidR="003F55C3" w:rsidRPr="00BF0098" w:rsidRDefault="003F55C3" w:rsidP="00BF0098">
      <w:pPr>
        <w:pStyle w:val="Prrafodelista"/>
        <w:numPr>
          <w:ilvl w:val="0"/>
          <w:numId w:val="13"/>
        </w:numPr>
        <w:spacing w:after="0" w:line="360" w:lineRule="auto"/>
        <w:ind w:left="0"/>
        <w:jc w:val="both"/>
        <w:rPr>
          <w:rFonts w:ascii="Arial" w:hAnsi="Arial" w:cs="Arial"/>
          <w:sz w:val="24"/>
          <w:szCs w:val="24"/>
        </w:rPr>
      </w:pPr>
      <w:r w:rsidRPr="00BF0098">
        <w:rPr>
          <w:rFonts w:ascii="Arial" w:hAnsi="Arial" w:cs="Arial"/>
          <w:sz w:val="24"/>
          <w:szCs w:val="24"/>
        </w:rPr>
        <w:t xml:space="preserve">Diálisis peritoneal o </w:t>
      </w:r>
      <w:smartTag w:uri="urn:schemas-microsoft-com:office:smarttags" w:element="PersonName">
        <w:smartTagPr>
          <w:attr w:name="ProductID" w:val="la Hemodi￡lisis"/>
        </w:smartTagPr>
        <w:r w:rsidRPr="00BF0098">
          <w:rPr>
            <w:rFonts w:ascii="Arial" w:hAnsi="Arial" w:cs="Arial"/>
            <w:sz w:val="24"/>
            <w:szCs w:val="24"/>
          </w:rPr>
          <w:t>la Hemodiálisis</w:t>
        </w:r>
      </w:smartTag>
      <w:r w:rsidRPr="00BF0098">
        <w:rPr>
          <w:rFonts w:ascii="Arial" w:hAnsi="Arial" w:cs="Arial"/>
          <w:sz w:val="24"/>
          <w:szCs w:val="24"/>
        </w:rPr>
        <w:t xml:space="preserve"> son efectivos en el control de los niveles de calcio en los pacientes con Insuficiencia renal.</w:t>
      </w:r>
    </w:p>
    <w:p w:rsidR="003F55C3" w:rsidRPr="00BF0098" w:rsidRDefault="003F55C3" w:rsidP="00BF0098">
      <w:pPr>
        <w:pStyle w:val="Prrafodelista"/>
        <w:numPr>
          <w:ilvl w:val="0"/>
          <w:numId w:val="13"/>
        </w:numPr>
        <w:spacing w:after="0" w:line="360" w:lineRule="auto"/>
        <w:ind w:left="0"/>
        <w:jc w:val="both"/>
        <w:rPr>
          <w:rFonts w:ascii="Arial" w:hAnsi="Arial" w:cs="Arial"/>
          <w:sz w:val="24"/>
          <w:szCs w:val="24"/>
        </w:rPr>
      </w:pPr>
      <w:r w:rsidRPr="00BF0098">
        <w:rPr>
          <w:rFonts w:ascii="Arial" w:hAnsi="Arial" w:cs="Arial"/>
          <w:sz w:val="24"/>
          <w:szCs w:val="24"/>
        </w:rPr>
        <w:t>Los efectos de la hipercalcemia sobre el sistema cardiovascular como las arritmias y la hipertensión responden bien a los bloqueantes de los canales de calcio como el verapamil y la nifedipina.</w:t>
      </w:r>
    </w:p>
    <w:p w:rsidR="003F55C3" w:rsidRPr="00BF0098" w:rsidRDefault="003F55C3" w:rsidP="00BF0098">
      <w:pPr>
        <w:pStyle w:val="Prrafodelista"/>
        <w:spacing w:after="0" w:line="360" w:lineRule="auto"/>
        <w:ind w:left="0"/>
        <w:jc w:val="both"/>
        <w:rPr>
          <w:rFonts w:ascii="Arial" w:hAnsi="Arial" w:cs="Arial"/>
          <w:sz w:val="24"/>
          <w:szCs w:val="24"/>
        </w:rPr>
      </w:pPr>
      <w:r w:rsidRPr="00BF0098">
        <w:rPr>
          <w:rFonts w:ascii="Arial" w:hAnsi="Arial" w:cs="Arial"/>
          <w:b/>
          <w:sz w:val="24"/>
          <w:szCs w:val="24"/>
        </w:rPr>
        <w:t>Magnesio</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El magnesio es el segundo catión intracelular más abundante y, la gran mayoría, se encuentra en el hueso y en el músculo. Es esencial para la actividad de gran parte de las vías metabólicas y de los sistemas enzimáticos, y es requerido especialmente para la actividad de las fosfatasas. Su presencia es fundamental para las contracciones musculares, la neurotransmisión, el metabolismo proteico-calórico y la síntesis de DNA. Las concentraciones de magnesio y potasio están íntimamente relacionadas y existe una alta incidencia de hipomagnesemia en pacientes con hipocaliemia, lo que resulta especialmente importante en la génesis de las arritmias cardíacas.</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lastRenderedPageBreak/>
        <w:t>Se encuentra en las verduras, cereales, leguminosas, frutas secas, carnes, leche y su absorción aunque no es completa, se produce a través del tubo digestivo.</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 xml:space="preserve">El magnesio circula en el suero en tres formas: una fracción unida a proteínas (20-30%), una fracción unida a otros compuestos inorgánicos (15%) y una fracción ionizada (55%), esta última es la fracción fisiológicamente activa y la homeostáticamente regulada. El riñón constituye el único órgano regulador de la concentración de magnesio. La orina contiene menos del 5% del filtrado por el glomérulo, el 20-30% se reabsorbe en el túbulo proximal y parte del resto, en la rama ascendente del asa gruesa de Henle, lugar donde se producen las modificaciones. El transporte tubular de magnesio parece estar influenciado por la ingesta, la cantidad filtrada en el glomérulo, la reabsorción de sodio y calcio, y </w:t>
      </w:r>
      <w:smartTag w:uri="urn:schemas-microsoft-com:office:smarttags" w:element="PersonName">
        <w:smartTagPr>
          <w:attr w:name="ProductID" w:val="la PTH. La"/>
        </w:smartTagPr>
        <w:r w:rsidRPr="00BF0098">
          <w:rPr>
            <w:rFonts w:ascii="Arial" w:hAnsi="Arial" w:cs="Arial"/>
            <w:sz w:val="24"/>
            <w:szCs w:val="24"/>
          </w:rPr>
          <w:t>la PTH. La</w:t>
        </w:r>
      </w:smartTag>
      <w:r w:rsidRPr="00BF0098">
        <w:rPr>
          <w:rFonts w:ascii="Arial" w:hAnsi="Arial" w:cs="Arial"/>
          <w:sz w:val="24"/>
          <w:szCs w:val="24"/>
        </w:rPr>
        <w:t xml:space="preserve"> hipomagnesemia moderada estimula la secreción de PTH, mientras que la hipomagnesemia severa         (&lt; 1mg/dl) y la hipermagnesemia la inhiben.</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El nivel sérico de magnesio no es siempre indicador real de su equilibrio y puede seguir con cifras normales aunque exista déficit de este catión, como por ejemplo, en las carencias nutricionales graves del Kwashiorkor.</w:t>
      </w:r>
    </w:p>
    <w:p w:rsidR="003F55C3" w:rsidRPr="00BF0098" w:rsidRDefault="00831C48" w:rsidP="00BF0098">
      <w:pPr>
        <w:spacing w:after="0" w:line="360" w:lineRule="auto"/>
        <w:jc w:val="both"/>
        <w:rPr>
          <w:rFonts w:ascii="Arial" w:hAnsi="Arial" w:cs="Arial"/>
          <w:b/>
          <w:sz w:val="24"/>
          <w:szCs w:val="24"/>
        </w:rPr>
      </w:pPr>
      <w:r w:rsidRPr="00BF0098">
        <w:rPr>
          <w:rFonts w:ascii="Arial" w:hAnsi="Arial" w:cs="Arial"/>
          <w:b/>
          <w:sz w:val="24"/>
          <w:szCs w:val="24"/>
        </w:rPr>
        <w:t>Hipomagnesemia</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t>La concentración sérica de magnesio oscila entre 1,7 y 2,4 mg/dl (1,5-2mEq/L). Es un trastorno electrolítico poco diagnosticado que se produce cuando las cifras de magnesio se encuentran por debajo de 0,7mmol/L, 1,4mEq/L o 1,7mg/dl.</w:t>
      </w:r>
    </w:p>
    <w:p w:rsidR="003F55C3" w:rsidRPr="00BF0098" w:rsidRDefault="00831C48" w:rsidP="00BF0098">
      <w:pPr>
        <w:spacing w:after="0" w:line="360" w:lineRule="auto"/>
        <w:jc w:val="both"/>
        <w:rPr>
          <w:rFonts w:ascii="Arial" w:hAnsi="Arial" w:cs="Arial"/>
          <w:b/>
          <w:sz w:val="24"/>
          <w:szCs w:val="24"/>
        </w:rPr>
      </w:pPr>
      <w:r w:rsidRPr="00BF0098">
        <w:rPr>
          <w:rFonts w:ascii="Arial" w:hAnsi="Arial" w:cs="Arial"/>
          <w:b/>
          <w:sz w:val="24"/>
          <w:szCs w:val="24"/>
        </w:rPr>
        <w:t>Etioliogia</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t>La hipomagnesemia aparece como resultado de un aporte deficitario, de un defecto en la capacidad renal de conservación, de unas excesivas pérdidas por heces o de la redistribución interna del magnesio, propio de malnutridos y en situación anabólica tras la administración de glucosa y aminoácidos.</w:t>
      </w:r>
    </w:p>
    <w:p w:rsidR="003F55C3" w:rsidRPr="00BF0098" w:rsidRDefault="003F55C3" w:rsidP="00BF0098">
      <w:pPr>
        <w:spacing w:after="0" w:line="360" w:lineRule="auto"/>
        <w:jc w:val="both"/>
        <w:rPr>
          <w:rFonts w:ascii="Arial" w:hAnsi="Arial" w:cs="Arial"/>
          <w:sz w:val="24"/>
          <w:szCs w:val="24"/>
        </w:rPr>
      </w:pPr>
    </w:p>
    <w:p w:rsidR="003F55C3" w:rsidRPr="00BF0098" w:rsidRDefault="003F55C3" w:rsidP="00BF0098">
      <w:pPr>
        <w:numPr>
          <w:ilvl w:val="0"/>
          <w:numId w:val="17"/>
        </w:numPr>
        <w:spacing w:after="0" w:line="360" w:lineRule="auto"/>
        <w:ind w:left="0"/>
        <w:jc w:val="both"/>
        <w:rPr>
          <w:rFonts w:ascii="Arial" w:hAnsi="Arial" w:cs="Arial"/>
          <w:b/>
          <w:sz w:val="24"/>
          <w:szCs w:val="24"/>
        </w:rPr>
      </w:pPr>
      <w:r w:rsidRPr="00BF0098">
        <w:rPr>
          <w:rFonts w:ascii="Arial" w:hAnsi="Arial" w:cs="Arial"/>
          <w:b/>
          <w:sz w:val="24"/>
          <w:szCs w:val="24"/>
        </w:rPr>
        <w:t>Disminución en los aportes.</w:t>
      </w:r>
      <w:r w:rsidRPr="00BF0098">
        <w:rPr>
          <w:rFonts w:ascii="Arial" w:hAnsi="Arial" w:cs="Arial"/>
          <w:sz w:val="24"/>
          <w:szCs w:val="24"/>
        </w:rPr>
        <w:t>Desnutrición</w:t>
      </w:r>
      <w:r w:rsidR="00210FCA" w:rsidRPr="00BF0098">
        <w:rPr>
          <w:rFonts w:ascii="Arial" w:hAnsi="Arial" w:cs="Arial"/>
          <w:b/>
          <w:sz w:val="24"/>
          <w:szCs w:val="24"/>
        </w:rPr>
        <w:t xml:space="preserve"> .</w:t>
      </w:r>
      <w:r w:rsidRPr="00BF0098">
        <w:rPr>
          <w:rFonts w:ascii="Arial" w:hAnsi="Arial" w:cs="Arial"/>
          <w:sz w:val="24"/>
          <w:szCs w:val="24"/>
        </w:rPr>
        <w:t>Hiperalimentación</w:t>
      </w:r>
    </w:p>
    <w:p w:rsidR="003F55C3" w:rsidRPr="00BF0098" w:rsidRDefault="003F55C3" w:rsidP="00BF0098">
      <w:pPr>
        <w:numPr>
          <w:ilvl w:val="0"/>
          <w:numId w:val="17"/>
        </w:numPr>
        <w:spacing w:after="0" w:line="360" w:lineRule="auto"/>
        <w:ind w:left="0"/>
        <w:jc w:val="both"/>
        <w:rPr>
          <w:rFonts w:ascii="Arial" w:hAnsi="Arial" w:cs="Arial"/>
          <w:b/>
          <w:sz w:val="24"/>
          <w:szCs w:val="24"/>
        </w:rPr>
      </w:pPr>
      <w:r w:rsidRPr="00BF0098">
        <w:rPr>
          <w:rFonts w:ascii="Arial" w:hAnsi="Arial" w:cs="Arial"/>
          <w:b/>
          <w:sz w:val="24"/>
          <w:szCs w:val="24"/>
        </w:rPr>
        <w:t>Pérdidas digestivas.</w:t>
      </w:r>
      <w:r w:rsidR="00210FCA" w:rsidRPr="00BF0098">
        <w:rPr>
          <w:rFonts w:ascii="Arial" w:hAnsi="Arial" w:cs="Arial"/>
          <w:b/>
          <w:sz w:val="24"/>
          <w:szCs w:val="24"/>
        </w:rPr>
        <w:t xml:space="preserve"> </w:t>
      </w:r>
      <w:r w:rsidRPr="00BF0098">
        <w:rPr>
          <w:rFonts w:ascii="Arial" w:hAnsi="Arial" w:cs="Arial"/>
          <w:sz w:val="24"/>
          <w:szCs w:val="24"/>
        </w:rPr>
        <w:t>Malabsorción</w:t>
      </w:r>
      <w:r w:rsidR="00210FCA" w:rsidRPr="00BF0098">
        <w:rPr>
          <w:rFonts w:ascii="Arial" w:hAnsi="Arial" w:cs="Arial"/>
          <w:sz w:val="24"/>
          <w:szCs w:val="24"/>
        </w:rPr>
        <w:t>,</w:t>
      </w:r>
      <w:r w:rsidR="00210FCA" w:rsidRPr="00BF0098">
        <w:rPr>
          <w:rFonts w:ascii="Arial" w:hAnsi="Arial" w:cs="Arial"/>
          <w:b/>
          <w:sz w:val="24"/>
          <w:szCs w:val="24"/>
        </w:rPr>
        <w:t xml:space="preserve"> </w:t>
      </w:r>
      <w:r w:rsidRPr="00BF0098">
        <w:rPr>
          <w:rFonts w:ascii="Arial" w:hAnsi="Arial" w:cs="Arial"/>
          <w:sz w:val="24"/>
          <w:szCs w:val="24"/>
        </w:rPr>
        <w:t>Fístula intestinal</w:t>
      </w:r>
      <w:r w:rsidR="00210FCA" w:rsidRPr="00BF0098">
        <w:rPr>
          <w:rFonts w:ascii="Arial" w:hAnsi="Arial" w:cs="Arial"/>
          <w:b/>
          <w:sz w:val="24"/>
          <w:szCs w:val="24"/>
        </w:rPr>
        <w:t xml:space="preserve"> .</w:t>
      </w:r>
      <w:r w:rsidRPr="00BF0098">
        <w:rPr>
          <w:rFonts w:ascii="Arial" w:hAnsi="Arial" w:cs="Arial"/>
          <w:sz w:val="24"/>
          <w:szCs w:val="24"/>
        </w:rPr>
        <w:t>Succión nasogástrica</w:t>
      </w:r>
    </w:p>
    <w:p w:rsidR="003F55C3" w:rsidRPr="00BF0098" w:rsidRDefault="003F55C3" w:rsidP="00BF0098">
      <w:pPr>
        <w:numPr>
          <w:ilvl w:val="0"/>
          <w:numId w:val="17"/>
        </w:numPr>
        <w:spacing w:after="0" w:line="360" w:lineRule="auto"/>
        <w:ind w:left="0"/>
        <w:jc w:val="both"/>
        <w:rPr>
          <w:rFonts w:ascii="Arial" w:hAnsi="Arial" w:cs="Arial"/>
          <w:b/>
          <w:sz w:val="24"/>
          <w:szCs w:val="24"/>
        </w:rPr>
      </w:pPr>
      <w:r w:rsidRPr="00BF0098">
        <w:rPr>
          <w:rFonts w:ascii="Arial" w:hAnsi="Arial" w:cs="Arial"/>
          <w:b/>
          <w:sz w:val="24"/>
          <w:szCs w:val="24"/>
        </w:rPr>
        <w:t>Pérdidas renales.</w:t>
      </w:r>
      <w:r w:rsidRPr="00BF0098">
        <w:rPr>
          <w:rFonts w:ascii="Arial" w:hAnsi="Arial" w:cs="Arial"/>
          <w:sz w:val="24"/>
          <w:szCs w:val="24"/>
        </w:rPr>
        <w:t>Enfermedad renal: Nefritis, Alteración tubular</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lastRenderedPageBreak/>
        <w:t>B</w:t>
      </w:r>
    </w:p>
    <w:p w:rsidR="003F55C3" w:rsidRPr="00BF0098" w:rsidRDefault="003F55C3" w:rsidP="00BF0098">
      <w:pPr>
        <w:numPr>
          <w:ilvl w:val="0"/>
          <w:numId w:val="17"/>
        </w:numPr>
        <w:spacing w:after="0" w:line="360" w:lineRule="auto"/>
        <w:ind w:left="0"/>
        <w:jc w:val="both"/>
        <w:rPr>
          <w:rFonts w:ascii="Arial" w:hAnsi="Arial" w:cs="Arial"/>
          <w:b/>
          <w:sz w:val="24"/>
          <w:szCs w:val="24"/>
        </w:rPr>
      </w:pPr>
      <w:r w:rsidRPr="00BF0098">
        <w:rPr>
          <w:rFonts w:ascii="Arial" w:hAnsi="Arial" w:cs="Arial"/>
          <w:b/>
          <w:sz w:val="24"/>
          <w:szCs w:val="24"/>
        </w:rPr>
        <w:t>Gran quemado.</w:t>
      </w:r>
    </w:p>
    <w:p w:rsidR="003F55C3" w:rsidRPr="00BF0098" w:rsidRDefault="003F55C3" w:rsidP="00BF0098">
      <w:pPr>
        <w:numPr>
          <w:ilvl w:val="0"/>
          <w:numId w:val="17"/>
        </w:numPr>
        <w:spacing w:after="0" w:line="360" w:lineRule="auto"/>
        <w:ind w:left="0"/>
        <w:jc w:val="both"/>
        <w:rPr>
          <w:rFonts w:ascii="Arial" w:hAnsi="Arial" w:cs="Arial"/>
          <w:b/>
          <w:sz w:val="24"/>
          <w:szCs w:val="24"/>
        </w:rPr>
      </w:pPr>
      <w:r w:rsidRPr="00BF0098">
        <w:rPr>
          <w:rFonts w:ascii="Arial" w:hAnsi="Arial" w:cs="Arial"/>
          <w:b/>
          <w:sz w:val="24"/>
          <w:szCs w:val="24"/>
        </w:rPr>
        <w:t>Sepsis.</w:t>
      </w:r>
    </w:p>
    <w:p w:rsidR="003F55C3" w:rsidRPr="00BF0098" w:rsidRDefault="003F55C3" w:rsidP="00BF0098">
      <w:pPr>
        <w:numPr>
          <w:ilvl w:val="0"/>
          <w:numId w:val="17"/>
        </w:numPr>
        <w:spacing w:after="0" w:line="360" w:lineRule="auto"/>
        <w:ind w:left="0"/>
        <w:jc w:val="both"/>
        <w:rPr>
          <w:rFonts w:ascii="Arial" w:hAnsi="Arial" w:cs="Arial"/>
          <w:b/>
          <w:sz w:val="24"/>
          <w:szCs w:val="24"/>
        </w:rPr>
      </w:pPr>
      <w:r w:rsidRPr="00BF0098">
        <w:rPr>
          <w:rFonts w:ascii="Arial" w:hAnsi="Arial" w:cs="Arial"/>
          <w:b/>
          <w:sz w:val="24"/>
          <w:szCs w:val="24"/>
        </w:rPr>
        <w:t>Hipotermia.</w:t>
      </w:r>
    </w:p>
    <w:p w:rsidR="003F55C3" w:rsidRPr="00BF0098" w:rsidRDefault="003F55C3" w:rsidP="00BF0098">
      <w:pPr>
        <w:numPr>
          <w:ilvl w:val="0"/>
          <w:numId w:val="17"/>
        </w:numPr>
        <w:spacing w:after="0" w:line="360" w:lineRule="auto"/>
        <w:ind w:left="0"/>
        <w:jc w:val="both"/>
        <w:rPr>
          <w:rFonts w:ascii="Arial" w:hAnsi="Arial" w:cs="Arial"/>
          <w:b/>
          <w:sz w:val="24"/>
          <w:szCs w:val="24"/>
        </w:rPr>
      </w:pPr>
      <w:r w:rsidRPr="00BF0098">
        <w:rPr>
          <w:rFonts w:ascii="Arial" w:hAnsi="Arial" w:cs="Arial"/>
          <w:b/>
          <w:sz w:val="24"/>
          <w:szCs w:val="24"/>
        </w:rPr>
        <w:t>"Bypass" cardiopulmonar.</w:t>
      </w:r>
    </w:p>
    <w:p w:rsidR="003F55C3" w:rsidRPr="00BF0098" w:rsidRDefault="003F55C3" w:rsidP="00BF0098">
      <w:pPr>
        <w:numPr>
          <w:ilvl w:val="0"/>
          <w:numId w:val="17"/>
        </w:numPr>
        <w:spacing w:after="0" w:line="360" w:lineRule="auto"/>
        <w:ind w:left="0"/>
        <w:jc w:val="both"/>
        <w:rPr>
          <w:rFonts w:ascii="Arial" w:hAnsi="Arial" w:cs="Arial"/>
          <w:b/>
          <w:sz w:val="24"/>
          <w:szCs w:val="24"/>
        </w:rPr>
      </w:pPr>
      <w:r w:rsidRPr="00BF0098">
        <w:rPr>
          <w:rFonts w:ascii="Arial" w:hAnsi="Arial" w:cs="Arial"/>
          <w:b/>
          <w:sz w:val="24"/>
          <w:szCs w:val="24"/>
        </w:rPr>
        <w:t>Diálisis.</w:t>
      </w:r>
    </w:p>
    <w:p w:rsidR="00AD1312" w:rsidRPr="00BF0098" w:rsidRDefault="00AD1312" w:rsidP="00BF0098">
      <w:pPr>
        <w:spacing w:after="0" w:line="360" w:lineRule="auto"/>
        <w:jc w:val="both"/>
        <w:rPr>
          <w:rFonts w:ascii="Arial" w:hAnsi="Arial" w:cs="Arial"/>
          <w:b/>
          <w:sz w:val="24"/>
          <w:szCs w:val="24"/>
        </w:rPr>
      </w:pPr>
      <w:r w:rsidRPr="00BF0098">
        <w:rPr>
          <w:rFonts w:ascii="Arial" w:hAnsi="Arial" w:cs="Arial"/>
          <w:b/>
          <w:sz w:val="24"/>
          <w:szCs w:val="24"/>
        </w:rPr>
        <w:t>Manifestaciones clínicas</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t>En todos aquellos pacientes con sospecha de hipomagnesemia se determinarán los niveles de magnesio, calcio iónico, fósforo, y potasio y se monitorizará la función renal. Los síntomas están relacionados con un aumento en la irritabilidad neuronal y la tetania. Los efectos en el sistema nervioso central pueden ser importantes y en los casos severos puede observarse convulsiones y coma.</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b/>
          <w:sz w:val="24"/>
          <w:szCs w:val="24"/>
        </w:rPr>
        <w:t>Neuromuscular</w:t>
      </w:r>
      <w:proofErr w:type="gramStart"/>
      <w:r w:rsidRPr="00BF0098">
        <w:rPr>
          <w:rFonts w:ascii="Arial" w:hAnsi="Arial" w:cs="Arial"/>
          <w:sz w:val="24"/>
          <w:szCs w:val="24"/>
        </w:rPr>
        <w:t>:tetania</w:t>
      </w:r>
      <w:proofErr w:type="gramEnd"/>
      <w:r w:rsidRPr="00BF0098">
        <w:rPr>
          <w:rFonts w:ascii="Arial" w:hAnsi="Arial" w:cs="Arial"/>
          <w:sz w:val="24"/>
          <w:szCs w:val="24"/>
        </w:rPr>
        <w:t>, debilidad,espasmos musculares ,convulsiones ,coma</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b/>
          <w:sz w:val="24"/>
          <w:szCs w:val="24"/>
        </w:rPr>
        <w:t>Metabólica</w:t>
      </w:r>
      <w:r w:rsidRPr="00BF0098">
        <w:rPr>
          <w:rFonts w:ascii="Arial" w:hAnsi="Arial" w:cs="Arial"/>
          <w:sz w:val="24"/>
          <w:szCs w:val="24"/>
        </w:rPr>
        <w:t xml:space="preserve"> </w:t>
      </w:r>
      <w:proofErr w:type="gramStart"/>
      <w:r w:rsidRPr="00BF0098">
        <w:rPr>
          <w:rFonts w:ascii="Arial" w:hAnsi="Arial" w:cs="Arial"/>
          <w:sz w:val="24"/>
          <w:szCs w:val="24"/>
        </w:rPr>
        <w:t>hipocalcemia ,hipofosforemia</w:t>
      </w:r>
      <w:proofErr w:type="gramEnd"/>
      <w:r w:rsidRPr="00BF0098">
        <w:rPr>
          <w:rFonts w:ascii="Arial" w:hAnsi="Arial" w:cs="Arial"/>
          <w:sz w:val="24"/>
          <w:szCs w:val="24"/>
        </w:rPr>
        <w:t xml:space="preserve"> ,hipocaliemia</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b/>
          <w:sz w:val="24"/>
          <w:szCs w:val="24"/>
        </w:rPr>
        <w:t>Cardiovascular</w:t>
      </w:r>
      <w:r w:rsidRPr="00BF0098">
        <w:rPr>
          <w:rFonts w:ascii="Arial" w:hAnsi="Arial" w:cs="Arial"/>
          <w:sz w:val="24"/>
          <w:szCs w:val="24"/>
        </w:rPr>
        <w:t xml:space="preserve"> .insuficiencia </w:t>
      </w:r>
      <w:proofErr w:type="gramStart"/>
      <w:r w:rsidRPr="00BF0098">
        <w:rPr>
          <w:rFonts w:ascii="Arial" w:hAnsi="Arial" w:cs="Arial"/>
          <w:sz w:val="24"/>
          <w:szCs w:val="24"/>
        </w:rPr>
        <w:t>cardíaca</w:t>
      </w:r>
      <w:r w:rsidR="00AD1312" w:rsidRPr="00BF0098">
        <w:rPr>
          <w:rFonts w:ascii="Arial" w:hAnsi="Arial" w:cs="Arial"/>
          <w:sz w:val="24"/>
          <w:szCs w:val="24"/>
        </w:rPr>
        <w:t xml:space="preserve"> </w:t>
      </w:r>
      <w:r w:rsidRPr="00BF0098">
        <w:rPr>
          <w:rFonts w:ascii="Arial" w:hAnsi="Arial" w:cs="Arial"/>
          <w:sz w:val="24"/>
          <w:szCs w:val="24"/>
        </w:rPr>
        <w:t>,vasoespasmo</w:t>
      </w:r>
      <w:proofErr w:type="gramEnd"/>
      <w:r w:rsidRPr="00BF0098">
        <w:rPr>
          <w:rFonts w:ascii="Arial" w:hAnsi="Arial" w:cs="Arial"/>
          <w:sz w:val="24"/>
          <w:szCs w:val="24"/>
        </w:rPr>
        <w:t xml:space="preserve"> ,hipertensión hipersensibilidad  a la digoxina</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b/>
          <w:sz w:val="24"/>
          <w:szCs w:val="24"/>
        </w:rPr>
        <w:t>Arritmias</w:t>
      </w:r>
      <w:r w:rsidRPr="00BF0098">
        <w:rPr>
          <w:rFonts w:ascii="Arial" w:hAnsi="Arial" w:cs="Arial"/>
          <w:sz w:val="24"/>
          <w:szCs w:val="24"/>
        </w:rPr>
        <w:t>: Muerte súbita, Taquicardia auricular, Taquicardia ventricular, Torsión de puntas</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b/>
          <w:sz w:val="24"/>
          <w:szCs w:val="24"/>
        </w:rPr>
        <w:t>ECG:</w:t>
      </w:r>
      <w:r w:rsidRPr="00BF0098">
        <w:rPr>
          <w:rFonts w:ascii="Arial" w:hAnsi="Arial" w:cs="Arial"/>
          <w:sz w:val="24"/>
          <w:szCs w:val="24"/>
        </w:rPr>
        <w:t xml:space="preserve"> Prolongación PR y QT, Depresión ST, Onda T plana y ancha, Ensanchamiento QRS</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b/>
          <w:sz w:val="24"/>
          <w:szCs w:val="24"/>
        </w:rPr>
        <w:t>Psiquiátrica</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t>Apatía</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t>Depresión</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t>Irritabilidad</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t>Confusión</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t>Psicosis</w:t>
      </w:r>
    </w:p>
    <w:p w:rsidR="003F55C3" w:rsidRPr="00BF0098" w:rsidRDefault="003F55C3" w:rsidP="00BF0098">
      <w:pPr>
        <w:spacing w:after="0" w:line="360" w:lineRule="auto"/>
        <w:jc w:val="both"/>
        <w:rPr>
          <w:rFonts w:ascii="Arial" w:hAnsi="Arial" w:cs="Arial"/>
          <w:b/>
          <w:sz w:val="24"/>
          <w:szCs w:val="24"/>
        </w:rPr>
      </w:pPr>
      <w:r w:rsidRPr="00BF0098">
        <w:rPr>
          <w:rFonts w:ascii="Arial" w:hAnsi="Arial" w:cs="Arial"/>
          <w:b/>
          <w:sz w:val="24"/>
          <w:szCs w:val="24"/>
        </w:rPr>
        <w:t>T</w:t>
      </w:r>
      <w:r w:rsidR="00AD1312" w:rsidRPr="00BF0098">
        <w:rPr>
          <w:rFonts w:ascii="Arial" w:hAnsi="Arial" w:cs="Arial"/>
          <w:b/>
          <w:sz w:val="24"/>
          <w:szCs w:val="24"/>
        </w:rPr>
        <w:t>ratamiento</w:t>
      </w:r>
      <w:r w:rsidRPr="00BF0098">
        <w:rPr>
          <w:rFonts w:ascii="Arial" w:hAnsi="Arial" w:cs="Arial"/>
          <w:sz w:val="24"/>
          <w:szCs w:val="24"/>
        </w:rPr>
        <w:t>:</w:t>
      </w:r>
    </w:p>
    <w:p w:rsidR="003F55C3" w:rsidRPr="00BF0098" w:rsidRDefault="003F55C3" w:rsidP="00BF0098">
      <w:pPr>
        <w:numPr>
          <w:ilvl w:val="0"/>
          <w:numId w:val="18"/>
        </w:numPr>
        <w:spacing w:after="0" w:line="360" w:lineRule="auto"/>
        <w:ind w:left="0"/>
        <w:jc w:val="both"/>
        <w:rPr>
          <w:rFonts w:ascii="Arial" w:hAnsi="Arial" w:cs="Arial"/>
          <w:sz w:val="24"/>
          <w:szCs w:val="24"/>
        </w:rPr>
      </w:pPr>
      <w:r w:rsidRPr="00BF0098">
        <w:rPr>
          <w:rFonts w:ascii="Arial" w:hAnsi="Arial" w:cs="Arial"/>
          <w:sz w:val="24"/>
          <w:szCs w:val="24"/>
        </w:rPr>
        <w:t>Corregir las pérdidas y reemplazar la deficiencia por vía oral o parenteral.</w:t>
      </w:r>
    </w:p>
    <w:p w:rsidR="003F55C3" w:rsidRPr="00BF0098" w:rsidRDefault="003F55C3" w:rsidP="00BF0098">
      <w:pPr>
        <w:numPr>
          <w:ilvl w:val="0"/>
          <w:numId w:val="18"/>
        </w:numPr>
        <w:spacing w:after="0" w:line="360" w:lineRule="auto"/>
        <w:ind w:left="0"/>
        <w:jc w:val="both"/>
        <w:rPr>
          <w:rFonts w:ascii="Arial" w:hAnsi="Arial" w:cs="Arial"/>
          <w:sz w:val="24"/>
          <w:szCs w:val="24"/>
        </w:rPr>
      </w:pPr>
      <w:r w:rsidRPr="00BF0098">
        <w:rPr>
          <w:rFonts w:ascii="Arial" w:hAnsi="Arial" w:cs="Arial"/>
          <w:sz w:val="24"/>
          <w:szCs w:val="24"/>
        </w:rPr>
        <w:t>En las hipomagnesemias ligeras o asintomáticas utilizar el tracto gastrointestinal para corregir el déficit.</w:t>
      </w:r>
    </w:p>
    <w:p w:rsidR="003F55C3" w:rsidRPr="00BF0098" w:rsidRDefault="003F55C3" w:rsidP="00BF0098">
      <w:pPr>
        <w:numPr>
          <w:ilvl w:val="0"/>
          <w:numId w:val="18"/>
        </w:numPr>
        <w:spacing w:after="0" w:line="360" w:lineRule="auto"/>
        <w:ind w:left="0"/>
        <w:jc w:val="both"/>
        <w:rPr>
          <w:rFonts w:ascii="Arial" w:hAnsi="Arial" w:cs="Arial"/>
          <w:sz w:val="24"/>
          <w:szCs w:val="24"/>
        </w:rPr>
      </w:pPr>
      <w:r w:rsidRPr="00BF0098">
        <w:rPr>
          <w:rFonts w:ascii="Arial" w:hAnsi="Arial" w:cs="Arial"/>
          <w:sz w:val="24"/>
          <w:szCs w:val="24"/>
        </w:rPr>
        <w:t>El objetivo de la terapéutica es mantener por encima de 0,4 mmol/L las concentraciones de magnesio sérico.</w:t>
      </w:r>
    </w:p>
    <w:p w:rsidR="003F55C3" w:rsidRPr="00BF0098" w:rsidRDefault="003F55C3" w:rsidP="00BF0098">
      <w:pPr>
        <w:numPr>
          <w:ilvl w:val="0"/>
          <w:numId w:val="18"/>
        </w:numPr>
        <w:spacing w:after="0" w:line="360" w:lineRule="auto"/>
        <w:ind w:left="0"/>
        <w:jc w:val="both"/>
        <w:rPr>
          <w:rFonts w:ascii="Arial" w:hAnsi="Arial" w:cs="Arial"/>
          <w:sz w:val="24"/>
          <w:szCs w:val="24"/>
        </w:rPr>
      </w:pPr>
      <w:r w:rsidRPr="00BF0098">
        <w:rPr>
          <w:rFonts w:ascii="Arial" w:hAnsi="Arial" w:cs="Arial"/>
          <w:sz w:val="24"/>
          <w:szCs w:val="24"/>
        </w:rPr>
        <w:lastRenderedPageBreak/>
        <w:t>Durante la administración de sulfato de magnesio debe monitorizarse l reflejo rotuliano y la función respiratoria</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t>La hipomagnesemia aguda sintomática requiere tratamiento parenteral con magnesio en forma de sulfato o cloruro.</w:t>
      </w:r>
    </w:p>
    <w:p w:rsidR="003F55C3" w:rsidRPr="00BF0098" w:rsidRDefault="00AD1312" w:rsidP="00BF0098">
      <w:pPr>
        <w:spacing w:after="0" w:line="360" w:lineRule="auto"/>
        <w:jc w:val="both"/>
        <w:rPr>
          <w:rFonts w:ascii="Arial" w:hAnsi="Arial" w:cs="Arial"/>
          <w:sz w:val="24"/>
          <w:szCs w:val="24"/>
          <w:lang w:val="pt-BR"/>
        </w:rPr>
      </w:pPr>
      <w:r w:rsidRPr="00BF0098">
        <w:rPr>
          <w:rFonts w:ascii="Arial" w:hAnsi="Arial" w:cs="Arial"/>
          <w:b/>
          <w:sz w:val="24"/>
          <w:szCs w:val="24"/>
          <w:lang w:val="pt-BR"/>
        </w:rPr>
        <w:t>Magnesio</w:t>
      </w:r>
      <w:r w:rsidR="003F55C3" w:rsidRPr="00BF0098">
        <w:rPr>
          <w:rFonts w:ascii="Arial" w:hAnsi="Arial" w:cs="Arial"/>
          <w:b/>
          <w:sz w:val="24"/>
          <w:szCs w:val="24"/>
          <w:lang w:val="pt-BR"/>
        </w:rPr>
        <w:t>:</w:t>
      </w:r>
      <w:r w:rsidR="003F55C3" w:rsidRPr="00BF0098">
        <w:rPr>
          <w:rFonts w:ascii="Arial" w:hAnsi="Arial" w:cs="Arial"/>
          <w:sz w:val="24"/>
          <w:szCs w:val="24"/>
          <w:lang w:val="pt-BR"/>
        </w:rPr>
        <w:t xml:space="preserve"> </w:t>
      </w:r>
      <w:proofErr w:type="gramStart"/>
      <w:r w:rsidR="003F55C3" w:rsidRPr="00BF0098">
        <w:rPr>
          <w:rFonts w:ascii="Arial" w:hAnsi="Arial" w:cs="Arial"/>
          <w:sz w:val="24"/>
          <w:szCs w:val="24"/>
          <w:lang w:val="pt-BR"/>
        </w:rPr>
        <w:t>1</w:t>
      </w:r>
      <w:proofErr w:type="gramEnd"/>
      <w:r w:rsidR="003F55C3" w:rsidRPr="00BF0098">
        <w:rPr>
          <w:rFonts w:ascii="Arial" w:hAnsi="Arial" w:cs="Arial"/>
          <w:sz w:val="24"/>
          <w:szCs w:val="24"/>
          <w:lang w:val="pt-BR"/>
        </w:rPr>
        <w:t xml:space="preserve"> mEq = 0,5 mmol = 12,15 mg</w:t>
      </w:r>
    </w:p>
    <w:p w:rsidR="003F55C3" w:rsidRPr="00BF0098" w:rsidRDefault="003F55C3" w:rsidP="00BF0098">
      <w:pPr>
        <w:spacing w:after="0" w:line="360" w:lineRule="auto"/>
        <w:jc w:val="both"/>
        <w:rPr>
          <w:rFonts w:ascii="Arial" w:hAnsi="Arial" w:cs="Arial"/>
          <w:sz w:val="24"/>
          <w:szCs w:val="24"/>
          <w:lang w:val="pt-BR"/>
        </w:rPr>
      </w:pPr>
      <w:r w:rsidRPr="00BF0098">
        <w:rPr>
          <w:rFonts w:ascii="Arial" w:hAnsi="Arial" w:cs="Arial"/>
          <w:sz w:val="24"/>
          <w:szCs w:val="24"/>
          <w:lang w:val="pt-BR"/>
        </w:rPr>
        <w:t xml:space="preserve">- 1 </w:t>
      </w:r>
      <w:proofErr w:type="gramStart"/>
      <w:r w:rsidRPr="00BF0098">
        <w:rPr>
          <w:rFonts w:ascii="Arial" w:hAnsi="Arial" w:cs="Arial"/>
          <w:sz w:val="24"/>
          <w:szCs w:val="24"/>
          <w:lang w:val="pt-BR"/>
        </w:rPr>
        <w:t>gr</w:t>
      </w:r>
      <w:proofErr w:type="gramEnd"/>
      <w:r w:rsidRPr="00BF0098">
        <w:rPr>
          <w:rFonts w:ascii="Arial" w:hAnsi="Arial" w:cs="Arial"/>
          <w:sz w:val="24"/>
          <w:szCs w:val="24"/>
          <w:lang w:val="pt-BR"/>
        </w:rPr>
        <w:t xml:space="preserve"> de sulfato de magnesio = 8,1 mEq = 98,6 mg de Mg</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t>Solución 50%: 1 ml = 4 mEq = 49,3 mg de Mg</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t>Solución 10%: 1 ml = 0,8 mEq = 9,8 mg de Mg</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t>- 1 gr de cloruro de magnesio = 9,7 mEq = 11, 8 mg de Mg</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t>Si la función renal es normal administrar inicialmente:</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t xml:space="preserve">    </w:t>
      </w:r>
      <w:smartTag w:uri="urn:schemas-microsoft-com:office:smarttags" w:element="metricconverter">
        <w:smartTagPr>
          <w:attr w:name="ProductID" w:val="2,5 a"/>
        </w:smartTagPr>
        <w:r w:rsidRPr="00BF0098">
          <w:rPr>
            <w:rFonts w:ascii="Arial" w:hAnsi="Arial" w:cs="Arial"/>
            <w:sz w:val="24"/>
            <w:szCs w:val="24"/>
          </w:rPr>
          <w:t>2,5 a</w:t>
        </w:r>
      </w:smartTag>
      <w:r w:rsidRPr="00BF0098">
        <w:rPr>
          <w:rFonts w:ascii="Arial" w:hAnsi="Arial" w:cs="Arial"/>
          <w:sz w:val="24"/>
          <w:szCs w:val="24"/>
        </w:rPr>
        <w:t xml:space="preserve"> 5 mg de magnesio elemental por Kg de peso en perfusión intravenosa en tres horas, en bolo a una velocidad inferior a 15mg por minuto, o por vía intramuscular.</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t>En las próximas 24 horas si la función renal es normal:</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t xml:space="preserve">    12 y 24 mg de magnesio elemental por Kg de peso en perfusión intravenosa continua, la misma dosis puede administrarse por vía intramuscular en intervalos de 2 ó 4 horas.</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t>Aportes de mantenimiento:</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t xml:space="preserve">    3 y 6 mg de magnesio elemental por Kg de peso y día por día parenteral, o de aproximadamente el doble si es por vía oral.</w:t>
      </w:r>
    </w:p>
    <w:p w:rsidR="003F55C3" w:rsidRPr="00BF0098" w:rsidRDefault="00AD1312" w:rsidP="00BF0098">
      <w:pPr>
        <w:spacing w:after="0" w:line="360" w:lineRule="auto"/>
        <w:jc w:val="both"/>
        <w:rPr>
          <w:rFonts w:ascii="Arial" w:hAnsi="Arial" w:cs="Arial"/>
          <w:b/>
          <w:sz w:val="24"/>
          <w:szCs w:val="24"/>
        </w:rPr>
      </w:pPr>
      <w:r w:rsidRPr="00BF0098">
        <w:rPr>
          <w:rFonts w:ascii="Arial" w:hAnsi="Arial" w:cs="Arial"/>
          <w:b/>
          <w:sz w:val="24"/>
          <w:szCs w:val="24"/>
        </w:rPr>
        <w:t>Hipermagnesemia</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t>Es un trastorno de incidencia insignificante en las condiciones actuales. Aunque niveles superiores de Magnesio mayores que 2,4 Mg/dL son considerados anormales, los síntomas clínicos aparecen en concentraciones superiores a 4 mg/dL y son severas a partir de 10mg/dL.</w:t>
      </w:r>
    </w:p>
    <w:p w:rsidR="003F55C3" w:rsidRPr="00BF0098" w:rsidRDefault="00AD1312" w:rsidP="00BF0098">
      <w:pPr>
        <w:spacing w:after="0" w:line="360" w:lineRule="auto"/>
        <w:jc w:val="both"/>
        <w:rPr>
          <w:rFonts w:ascii="Arial" w:hAnsi="Arial" w:cs="Arial"/>
          <w:b/>
          <w:sz w:val="24"/>
          <w:szCs w:val="24"/>
        </w:rPr>
      </w:pPr>
      <w:r w:rsidRPr="00BF0098">
        <w:rPr>
          <w:rFonts w:ascii="Arial" w:hAnsi="Arial" w:cs="Arial"/>
          <w:b/>
          <w:sz w:val="24"/>
          <w:szCs w:val="24"/>
        </w:rPr>
        <w:t>Etiologia</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t xml:space="preserve">Las causas de hipermagnesemia en los pacientes críticamente enfermos son generalmente </w:t>
      </w:r>
      <w:proofErr w:type="gramStart"/>
      <w:r w:rsidRPr="00BF0098">
        <w:rPr>
          <w:rFonts w:ascii="Arial" w:hAnsi="Arial" w:cs="Arial"/>
          <w:sz w:val="24"/>
          <w:szCs w:val="24"/>
        </w:rPr>
        <w:t>iatrogénicas</w:t>
      </w:r>
      <w:proofErr w:type="gramEnd"/>
      <w:r w:rsidRPr="00BF0098">
        <w:rPr>
          <w:rFonts w:ascii="Arial" w:hAnsi="Arial" w:cs="Arial"/>
          <w:sz w:val="24"/>
          <w:szCs w:val="24"/>
        </w:rPr>
        <w:t xml:space="preserve"> debidas a la administración excesiva de magnesio (antiácidos, enemas o nutrición parenteral), especialmente si coexiste insuficiencia renal.</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t>La hipermagnesemia es frecuente durante el  postoperatorio de los pacientes gravemente enfermos y se ha observado acompañando la hipotermia, en el hipotiroidismo, en la insuficiencia adrenal, en la insuficiencia renal aguda y crónica, y en la oliguria aguda con acidosis.</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lastRenderedPageBreak/>
        <w:t>Se asocia con recién nacidos de madres que fueron tratados con inyecciones intramusculares de sulfato de magnesio en el tratamiento de preeclampsia y eclampsia, y con neonatos prematuros.</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t>Las causas pueden clasificarse:</w:t>
      </w:r>
    </w:p>
    <w:p w:rsidR="003F55C3" w:rsidRPr="00BF0098" w:rsidRDefault="003F55C3" w:rsidP="00BF0098">
      <w:pPr>
        <w:numPr>
          <w:ilvl w:val="0"/>
          <w:numId w:val="19"/>
        </w:numPr>
        <w:spacing w:after="0" w:line="360" w:lineRule="auto"/>
        <w:ind w:left="0"/>
        <w:jc w:val="both"/>
        <w:rPr>
          <w:rFonts w:ascii="Arial" w:hAnsi="Arial" w:cs="Arial"/>
          <w:sz w:val="24"/>
          <w:szCs w:val="24"/>
        </w:rPr>
      </w:pPr>
      <w:r w:rsidRPr="00BF0098">
        <w:rPr>
          <w:rFonts w:ascii="Arial" w:hAnsi="Arial" w:cs="Arial"/>
          <w:sz w:val="24"/>
          <w:szCs w:val="24"/>
        </w:rPr>
        <w:t>Frecuentes: Insuficiencia renal, administración excesiva por cualquier vía exógena</w:t>
      </w:r>
    </w:p>
    <w:p w:rsidR="003F55C3" w:rsidRPr="00BF0098" w:rsidRDefault="003F55C3" w:rsidP="00BF0098">
      <w:pPr>
        <w:numPr>
          <w:ilvl w:val="0"/>
          <w:numId w:val="19"/>
        </w:numPr>
        <w:spacing w:after="0" w:line="360" w:lineRule="auto"/>
        <w:ind w:left="0"/>
        <w:jc w:val="both"/>
        <w:rPr>
          <w:rFonts w:ascii="Arial" w:hAnsi="Arial" w:cs="Arial"/>
          <w:sz w:val="24"/>
          <w:szCs w:val="24"/>
        </w:rPr>
      </w:pPr>
      <w:r w:rsidRPr="00BF0098">
        <w:rPr>
          <w:rFonts w:ascii="Arial" w:hAnsi="Arial" w:cs="Arial"/>
          <w:sz w:val="24"/>
          <w:szCs w:val="24"/>
        </w:rPr>
        <w:t>Raras: Enfermedad de Adisson, Hiperparatiroidismo, Hipocalciuria hipercalcemia familiar, Intoxicació con litio, Hipoaldosteronismo, Hiporreninémico.</w:t>
      </w:r>
    </w:p>
    <w:p w:rsidR="003F55C3" w:rsidRPr="00BF0098" w:rsidRDefault="00BF0098" w:rsidP="00BF0098">
      <w:pPr>
        <w:spacing w:after="0" w:line="360" w:lineRule="auto"/>
        <w:jc w:val="both"/>
        <w:rPr>
          <w:rFonts w:ascii="Arial" w:hAnsi="Arial" w:cs="Arial"/>
          <w:b/>
          <w:sz w:val="24"/>
          <w:szCs w:val="24"/>
        </w:rPr>
      </w:pPr>
      <w:r w:rsidRPr="00BF0098">
        <w:rPr>
          <w:rFonts w:ascii="Arial" w:hAnsi="Arial" w:cs="Arial"/>
          <w:b/>
          <w:sz w:val="24"/>
          <w:szCs w:val="24"/>
        </w:rPr>
        <w:t>Cuadro clinico</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t>Niveles entre 2,4 y 4 mg/dl son observados en el 9% de los pacientes hospitalizados sin repercusiones clínicas aparentes. Sin embargo con estos valores la mortalidad es significativamente más alta que en los hipo y normomagnesémicos.</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t>Hipotensión, bradicardia intensa, nauseas y vómitos pueden ser observados con elevaciones del nivel de magnesio (4mg/dl), por encima de estas cifras se produce una disminución de la transmisión neuromuscular de la electroconducción cardíaca y depresión de los ganglios simpáticos. Todos estos efectos son secundarios al bloqueo de la liberación de acetilcolina y son antagonizados eficazmente por el ión Calcio. Es más difícil que se presente depresión del SNC y anestesia La depresión respiratoria debido a parálisis de los músculos respiratorios es la principal causa de muerte en los pacientes hipermagnesémicos y, al igual que el bloqueo cardíaco o la asístole, aparece con altas concentraciones de magnesio (5-9 mg/dl).</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t>Alteraciones electrocardiográficas: prolongación del intervalo Pr, ensanchamiento de QRS, y pueden además, aumentar la acción de los relajantes musculares no despolarizantes.</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t>El coma y la muerte sólo se presentan cuando las concentraciones de Magnesio son mayores que 15 mg/dL</w:t>
      </w:r>
    </w:p>
    <w:p w:rsidR="003F55C3" w:rsidRPr="00BF0098" w:rsidRDefault="003F55C3" w:rsidP="00BF0098">
      <w:pPr>
        <w:spacing w:after="0" w:line="360" w:lineRule="auto"/>
        <w:jc w:val="both"/>
        <w:rPr>
          <w:rFonts w:ascii="Arial" w:hAnsi="Arial" w:cs="Arial"/>
          <w:b/>
          <w:sz w:val="24"/>
          <w:szCs w:val="24"/>
        </w:rPr>
      </w:pPr>
      <w:r w:rsidRPr="00BF0098">
        <w:rPr>
          <w:rFonts w:ascii="Arial" w:hAnsi="Arial" w:cs="Arial"/>
          <w:b/>
          <w:sz w:val="24"/>
          <w:szCs w:val="24"/>
        </w:rPr>
        <w:t>T</w:t>
      </w:r>
      <w:r w:rsidR="00BF0098" w:rsidRPr="00BF0098">
        <w:rPr>
          <w:rFonts w:ascii="Arial" w:hAnsi="Arial" w:cs="Arial"/>
          <w:b/>
          <w:sz w:val="24"/>
          <w:szCs w:val="24"/>
        </w:rPr>
        <w:t>ratamiento</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t>Pautas a tener en cuenta:</w:t>
      </w:r>
    </w:p>
    <w:p w:rsidR="003F55C3" w:rsidRPr="00BF0098" w:rsidRDefault="003F55C3" w:rsidP="00BF0098">
      <w:pPr>
        <w:numPr>
          <w:ilvl w:val="0"/>
          <w:numId w:val="20"/>
        </w:numPr>
        <w:spacing w:after="0" w:line="360" w:lineRule="auto"/>
        <w:ind w:left="0"/>
        <w:jc w:val="both"/>
        <w:rPr>
          <w:rFonts w:ascii="Arial" w:hAnsi="Arial" w:cs="Arial"/>
          <w:sz w:val="24"/>
          <w:szCs w:val="24"/>
        </w:rPr>
      </w:pPr>
      <w:r w:rsidRPr="00BF0098">
        <w:rPr>
          <w:rFonts w:ascii="Arial" w:hAnsi="Arial" w:cs="Arial"/>
          <w:sz w:val="24"/>
          <w:szCs w:val="24"/>
        </w:rPr>
        <w:t>Eliminar aporte da magnesio exógeno.</w:t>
      </w:r>
    </w:p>
    <w:p w:rsidR="003F55C3" w:rsidRPr="00BF0098" w:rsidRDefault="003F55C3" w:rsidP="00BF0098">
      <w:pPr>
        <w:numPr>
          <w:ilvl w:val="0"/>
          <w:numId w:val="20"/>
        </w:numPr>
        <w:spacing w:after="0" w:line="360" w:lineRule="auto"/>
        <w:ind w:left="0"/>
        <w:jc w:val="both"/>
        <w:rPr>
          <w:rFonts w:ascii="Arial" w:hAnsi="Arial" w:cs="Arial"/>
          <w:sz w:val="24"/>
          <w:szCs w:val="24"/>
        </w:rPr>
      </w:pPr>
      <w:r w:rsidRPr="00BF0098">
        <w:rPr>
          <w:rFonts w:ascii="Arial" w:hAnsi="Arial" w:cs="Arial"/>
          <w:sz w:val="24"/>
          <w:szCs w:val="24"/>
        </w:rPr>
        <w:t>Antagonizar la toxicidad cardíaca y neuromuscular.</w:t>
      </w:r>
    </w:p>
    <w:p w:rsidR="003F55C3" w:rsidRPr="00BF0098" w:rsidRDefault="003F55C3" w:rsidP="00BF0098">
      <w:pPr>
        <w:numPr>
          <w:ilvl w:val="0"/>
          <w:numId w:val="20"/>
        </w:numPr>
        <w:spacing w:after="0" w:line="360" w:lineRule="auto"/>
        <w:ind w:left="0"/>
        <w:jc w:val="both"/>
        <w:rPr>
          <w:rFonts w:ascii="Arial" w:hAnsi="Arial" w:cs="Arial"/>
          <w:sz w:val="24"/>
          <w:szCs w:val="24"/>
        </w:rPr>
      </w:pPr>
      <w:r w:rsidRPr="00BF0098">
        <w:rPr>
          <w:rFonts w:ascii="Arial" w:hAnsi="Arial" w:cs="Arial"/>
          <w:sz w:val="24"/>
          <w:szCs w:val="24"/>
        </w:rPr>
        <w:lastRenderedPageBreak/>
        <w:t>Aumentar la excreción renal de magnesio con solución salina y diuréticos de asa.</w:t>
      </w:r>
    </w:p>
    <w:p w:rsidR="003F55C3" w:rsidRPr="00BF0098" w:rsidRDefault="003F55C3" w:rsidP="00BF0098">
      <w:pPr>
        <w:numPr>
          <w:ilvl w:val="0"/>
          <w:numId w:val="20"/>
        </w:numPr>
        <w:spacing w:after="0" w:line="360" w:lineRule="auto"/>
        <w:ind w:left="0"/>
        <w:jc w:val="both"/>
        <w:rPr>
          <w:rFonts w:ascii="Arial" w:hAnsi="Arial" w:cs="Arial"/>
          <w:sz w:val="24"/>
          <w:szCs w:val="24"/>
        </w:rPr>
      </w:pPr>
      <w:r w:rsidRPr="00BF0098">
        <w:rPr>
          <w:rFonts w:ascii="Arial" w:hAnsi="Arial" w:cs="Arial"/>
          <w:sz w:val="24"/>
          <w:szCs w:val="24"/>
        </w:rPr>
        <w:t>Utilizar métodos dialíticos si coexiste una insuficiencia renal.</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t>Si la función renal es normal, la hipermagnesemia es transitoria, ya que su exceso se elimina rápidamente por la orina.</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t>En casos de hipermagnesemia severa y sintomática la administración de calcio, como si de un caso de hipocalcemia se tratase puede ser suficiente. La diálisis peritoneal o la hemodiálisis pueden ser necesarias, especialmente en casos de insuficiencia renal.</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t>Si existe depresión neuromuscular que involucra la ventilación mecánica o la conducción miocárdica, el apoyo por ventilación mecánica, la administración intravenosa de calcio, glucosa e insulina son el tratamiento de elección.</w:t>
      </w:r>
    </w:p>
    <w:p w:rsidR="00BF0098" w:rsidRPr="00BF0098" w:rsidRDefault="00BF0098" w:rsidP="00BF0098">
      <w:pPr>
        <w:spacing w:line="360" w:lineRule="auto"/>
        <w:jc w:val="both"/>
        <w:rPr>
          <w:rFonts w:ascii="Arial" w:hAnsi="Arial" w:cs="Arial"/>
          <w:b/>
          <w:sz w:val="24"/>
          <w:szCs w:val="24"/>
        </w:rPr>
      </w:pPr>
      <w:r w:rsidRPr="00BF0098">
        <w:rPr>
          <w:rFonts w:ascii="Arial" w:hAnsi="Arial" w:cs="Arial"/>
          <w:b/>
          <w:sz w:val="24"/>
          <w:szCs w:val="24"/>
        </w:rPr>
        <w:t>Fosforo</w:t>
      </w:r>
    </w:p>
    <w:p w:rsidR="003F55C3" w:rsidRPr="00BF0098" w:rsidRDefault="003F55C3" w:rsidP="00BF0098">
      <w:pPr>
        <w:spacing w:line="360" w:lineRule="auto"/>
        <w:jc w:val="both"/>
        <w:rPr>
          <w:rFonts w:ascii="Arial" w:hAnsi="Arial" w:cs="Arial"/>
          <w:b/>
          <w:sz w:val="24"/>
          <w:szCs w:val="24"/>
        </w:rPr>
      </w:pPr>
      <w:r w:rsidRPr="00BF0098">
        <w:rPr>
          <w:rFonts w:ascii="Arial" w:hAnsi="Arial" w:cs="Arial"/>
          <w:sz w:val="24"/>
          <w:szCs w:val="24"/>
        </w:rPr>
        <w:t xml:space="preserve">El fósforo representa el 1% del peso corporal total y es en su mayor parte un anión intracelular. Su principal fuente dietética es la leche de vaca, en la que cada ml contiene aproximadamente 1 mg. </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El fosfato existe en el organismo de forma orgánica e inorgánica. El inorgánico se encuentra en alta concentración en el hueso y en las células, si embargo, en el líquido extracelular la concentración del inorgánico es muy baja. El fosfato inrgánico a 90% es ultrafiltrable, de este, más de la mitad se encuentra disociado, el 80% como anión divalente   (HPO4-2)  y el 20% como anión monovalente (HPO4-). El fosfato ultrafiltrable se compone de sales de Na+, Ca++, Mg++. El fosfato inorgánico no ultrafiltrable se encuentra unido a proteínas y el fosfato orgánico plasmático está formado completamente por fosfolípidos.</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 xml:space="preserve">Los niveles séricos normales del fósforo oscilan entre 4 y 7,1 mg/dl (1,3 – 2,3 mmol/L) en los niños y entre 2,7 y 4,5 mg/dL (0,9 – 1,5 mmol/L) en los adultos. Con excepción de los lactantes de muy corta edad, la cantidad recomendada de fósforo al día es igual que la del calcio, en menores de 1 año, alrededor de </w:t>
      </w:r>
      <w:smartTag w:uri="urn:schemas-microsoft-com:office:smarttags" w:element="metricconverter">
        <w:smartTagPr>
          <w:attr w:name="ProductID" w:val="250 a"/>
        </w:smartTagPr>
        <w:r w:rsidRPr="00BF0098">
          <w:rPr>
            <w:rFonts w:ascii="Arial" w:hAnsi="Arial" w:cs="Arial"/>
            <w:sz w:val="24"/>
            <w:szCs w:val="24"/>
          </w:rPr>
          <w:t>250 a</w:t>
        </w:r>
      </w:smartTag>
      <w:r w:rsidRPr="00BF0098">
        <w:rPr>
          <w:rFonts w:ascii="Arial" w:hAnsi="Arial" w:cs="Arial"/>
          <w:sz w:val="24"/>
          <w:szCs w:val="24"/>
        </w:rPr>
        <w:t xml:space="preserve"> 1000 mg y en niños mayores y adultos entre 1000 y 1500 mg. </w:t>
      </w:r>
    </w:p>
    <w:p w:rsidR="003F55C3" w:rsidRPr="00BF0098" w:rsidRDefault="003F55C3" w:rsidP="00BF0098">
      <w:pPr>
        <w:spacing w:line="360" w:lineRule="auto"/>
        <w:jc w:val="both"/>
        <w:rPr>
          <w:rFonts w:ascii="Arial" w:hAnsi="Arial" w:cs="Arial"/>
          <w:sz w:val="24"/>
          <w:szCs w:val="24"/>
        </w:rPr>
      </w:pPr>
    </w:p>
    <w:p w:rsidR="003F55C3" w:rsidRPr="00BF0098" w:rsidRDefault="003F55C3" w:rsidP="00BF0098">
      <w:pPr>
        <w:spacing w:line="360" w:lineRule="auto"/>
        <w:jc w:val="both"/>
        <w:rPr>
          <w:rFonts w:ascii="Arial" w:hAnsi="Arial" w:cs="Arial"/>
          <w:b/>
          <w:sz w:val="24"/>
          <w:szCs w:val="24"/>
        </w:rPr>
      </w:pPr>
      <w:r w:rsidRPr="00BF0098">
        <w:rPr>
          <w:rFonts w:ascii="Arial" w:hAnsi="Arial" w:cs="Arial"/>
          <w:b/>
          <w:sz w:val="24"/>
          <w:szCs w:val="24"/>
        </w:rPr>
        <w:lastRenderedPageBreak/>
        <w:t>H</w:t>
      </w:r>
      <w:r w:rsidR="00BF0098" w:rsidRPr="00BF0098">
        <w:rPr>
          <w:rFonts w:ascii="Arial" w:hAnsi="Arial" w:cs="Arial"/>
          <w:b/>
          <w:sz w:val="24"/>
          <w:szCs w:val="24"/>
        </w:rPr>
        <w:t>ipofosfatemia</w:t>
      </w:r>
    </w:p>
    <w:p w:rsidR="00BF0098" w:rsidRPr="00BF0098" w:rsidRDefault="003F55C3" w:rsidP="00BF0098">
      <w:pPr>
        <w:spacing w:line="360" w:lineRule="auto"/>
        <w:jc w:val="both"/>
        <w:rPr>
          <w:rFonts w:ascii="Arial" w:hAnsi="Arial" w:cs="Arial"/>
          <w:b/>
          <w:sz w:val="24"/>
          <w:szCs w:val="24"/>
        </w:rPr>
      </w:pPr>
      <w:r w:rsidRPr="00BF0098">
        <w:rPr>
          <w:rFonts w:ascii="Arial" w:hAnsi="Arial" w:cs="Arial"/>
          <w:b/>
          <w:sz w:val="24"/>
          <w:szCs w:val="24"/>
        </w:rPr>
        <w:t>Definición</w:t>
      </w:r>
    </w:p>
    <w:p w:rsidR="003F55C3" w:rsidRPr="00BF0098" w:rsidRDefault="003F55C3" w:rsidP="00BF0098">
      <w:pPr>
        <w:spacing w:line="360" w:lineRule="auto"/>
        <w:jc w:val="both"/>
        <w:rPr>
          <w:rFonts w:ascii="Arial" w:hAnsi="Arial" w:cs="Arial"/>
          <w:b/>
          <w:sz w:val="24"/>
          <w:szCs w:val="24"/>
        </w:rPr>
      </w:pPr>
      <w:r w:rsidRPr="00BF0098">
        <w:rPr>
          <w:rFonts w:ascii="Arial" w:hAnsi="Arial" w:cs="Arial"/>
          <w:sz w:val="24"/>
          <w:szCs w:val="24"/>
        </w:rPr>
        <w:t>La hipofosforemia moderada (fósforo entre 1 y 2,5 mg/dl) es observada en múltiples situaciones (administración de glucosa, diuréticos o insulina, Malabsorción, desnutrición, etc…), pero los síntomas sólo aparecen cuando el nivel sérico de fósforo cae por debajo de 1mg/dl.</w:t>
      </w:r>
    </w:p>
    <w:p w:rsidR="00BF0098" w:rsidRPr="00BF0098" w:rsidRDefault="003F55C3" w:rsidP="00BF0098">
      <w:pPr>
        <w:spacing w:line="360" w:lineRule="auto"/>
        <w:jc w:val="both"/>
        <w:rPr>
          <w:rFonts w:ascii="Arial" w:hAnsi="Arial" w:cs="Arial"/>
          <w:b/>
          <w:sz w:val="24"/>
          <w:szCs w:val="24"/>
        </w:rPr>
      </w:pPr>
      <w:r w:rsidRPr="00BF0098">
        <w:rPr>
          <w:rFonts w:ascii="Arial" w:hAnsi="Arial" w:cs="Arial"/>
          <w:b/>
          <w:sz w:val="24"/>
          <w:szCs w:val="24"/>
        </w:rPr>
        <w:t>Etiología</w:t>
      </w:r>
    </w:p>
    <w:p w:rsidR="003F55C3" w:rsidRPr="00BF0098" w:rsidRDefault="003F55C3" w:rsidP="00BF0098">
      <w:pPr>
        <w:spacing w:line="360" w:lineRule="auto"/>
        <w:jc w:val="both"/>
        <w:rPr>
          <w:rFonts w:ascii="Arial" w:hAnsi="Arial" w:cs="Arial"/>
          <w:b/>
          <w:sz w:val="24"/>
          <w:szCs w:val="24"/>
        </w:rPr>
      </w:pPr>
      <w:r w:rsidRPr="00BF0098">
        <w:rPr>
          <w:rFonts w:ascii="Arial" w:hAnsi="Arial" w:cs="Arial"/>
          <w:sz w:val="24"/>
          <w:szCs w:val="24"/>
        </w:rPr>
        <w:t xml:space="preserve">Las causas de hipofosforemia severa están en relación con pérdidas excesivas por la orina, con el secuestro farmacológico por antiácidos, o con la rápida y masiva captación de fósforo por parte de las células. </w:t>
      </w:r>
    </w:p>
    <w:p w:rsidR="003F55C3" w:rsidRPr="00BF0098" w:rsidRDefault="003F55C3" w:rsidP="00BF0098">
      <w:pPr>
        <w:spacing w:line="360" w:lineRule="auto"/>
        <w:jc w:val="both"/>
        <w:rPr>
          <w:rFonts w:ascii="Arial" w:hAnsi="Arial" w:cs="Arial"/>
          <w:b/>
          <w:sz w:val="24"/>
          <w:szCs w:val="24"/>
        </w:rPr>
      </w:pPr>
      <w:r w:rsidRPr="00BF0098">
        <w:rPr>
          <w:rFonts w:ascii="Arial" w:hAnsi="Arial" w:cs="Arial"/>
          <w:b/>
          <w:sz w:val="24"/>
          <w:szCs w:val="24"/>
        </w:rPr>
        <w:t xml:space="preserve">Desplazamiento </w:t>
      </w:r>
      <w:proofErr w:type="gramStart"/>
      <w:r w:rsidRPr="00BF0098">
        <w:rPr>
          <w:rFonts w:ascii="Arial" w:hAnsi="Arial" w:cs="Arial"/>
          <w:b/>
          <w:sz w:val="24"/>
          <w:szCs w:val="24"/>
        </w:rPr>
        <w:t>transcelular</w:t>
      </w:r>
      <w:r w:rsidR="00BF0098" w:rsidRPr="00BF0098">
        <w:rPr>
          <w:rFonts w:ascii="Arial" w:hAnsi="Arial" w:cs="Arial"/>
          <w:b/>
          <w:sz w:val="24"/>
          <w:szCs w:val="24"/>
        </w:rPr>
        <w:t xml:space="preserve"> :</w:t>
      </w:r>
      <w:r w:rsidR="00BF0098" w:rsidRPr="00BF0098">
        <w:rPr>
          <w:rFonts w:ascii="Arial" w:hAnsi="Arial" w:cs="Arial"/>
          <w:sz w:val="24"/>
          <w:szCs w:val="24"/>
        </w:rPr>
        <w:t>r</w:t>
      </w:r>
      <w:r w:rsidRPr="00BF0098">
        <w:rPr>
          <w:rFonts w:ascii="Arial" w:hAnsi="Arial" w:cs="Arial"/>
          <w:sz w:val="24"/>
          <w:szCs w:val="24"/>
        </w:rPr>
        <w:t>ecuperación</w:t>
      </w:r>
      <w:proofErr w:type="gramEnd"/>
      <w:r w:rsidRPr="00BF0098">
        <w:rPr>
          <w:rFonts w:ascii="Arial" w:hAnsi="Arial" w:cs="Arial"/>
          <w:sz w:val="24"/>
          <w:szCs w:val="24"/>
        </w:rPr>
        <w:t xml:space="preserve"> nutricional</w:t>
      </w:r>
      <w:r w:rsidR="00BF0098" w:rsidRPr="00BF0098">
        <w:rPr>
          <w:rFonts w:ascii="Arial" w:hAnsi="Arial" w:cs="Arial"/>
          <w:b/>
          <w:sz w:val="24"/>
          <w:szCs w:val="24"/>
        </w:rPr>
        <w:t xml:space="preserve"> , </w:t>
      </w:r>
      <w:r w:rsidR="00BF0098" w:rsidRPr="00BF0098">
        <w:rPr>
          <w:rFonts w:ascii="Arial" w:hAnsi="Arial" w:cs="Arial"/>
          <w:sz w:val="24"/>
          <w:szCs w:val="24"/>
        </w:rPr>
        <w:t>a</w:t>
      </w:r>
      <w:r w:rsidRPr="00BF0098">
        <w:rPr>
          <w:rFonts w:ascii="Arial" w:hAnsi="Arial" w:cs="Arial"/>
          <w:sz w:val="24"/>
          <w:szCs w:val="24"/>
        </w:rPr>
        <w:t>lcalosis respiratoria</w:t>
      </w:r>
      <w:r w:rsidR="00BF0098" w:rsidRPr="00BF0098">
        <w:rPr>
          <w:rFonts w:ascii="Arial" w:hAnsi="Arial" w:cs="Arial"/>
          <w:b/>
          <w:sz w:val="24"/>
          <w:szCs w:val="24"/>
        </w:rPr>
        <w:t xml:space="preserve"> r</w:t>
      </w:r>
      <w:r w:rsidRPr="00BF0098">
        <w:rPr>
          <w:rFonts w:ascii="Arial" w:hAnsi="Arial" w:cs="Arial"/>
          <w:sz w:val="24"/>
          <w:szCs w:val="24"/>
        </w:rPr>
        <w:t>ecuperación gran quemado</w:t>
      </w:r>
      <w:r w:rsidR="00BF0098" w:rsidRPr="00BF0098">
        <w:rPr>
          <w:rFonts w:ascii="Arial" w:hAnsi="Arial" w:cs="Arial"/>
          <w:sz w:val="24"/>
          <w:szCs w:val="24"/>
        </w:rPr>
        <w:t xml:space="preserve"> ,r</w:t>
      </w:r>
      <w:r w:rsidRPr="00BF0098">
        <w:rPr>
          <w:rFonts w:ascii="Arial" w:hAnsi="Arial" w:cs="Arial"/>
          <w:sz w:val="24"/>
          <w:szCs w:val="24"/>
        </w:rPr>
        <w:t>ecuperación de hipotermia</w:t>
      </w:r>
      <w:r w:rsidR="00BF0098" w:rsidRPr="00BF0098">
        <w:rPr>
          <w:rFonts w:ascii="Arial" w:hAnsi="Arial" w:cs="Arial"/>
          <w:sz w:val="24"/>
          <w:szCs w:val="24"/>
        </w:rPr>
        <w:t xml:space="preserve"> ,c</w:t>
      </w:r>
      <w:r w:rsidRPr="00BF0098">
        <w:rPr>
          <w:rFonts w:ascii="Arial" w:hAnsi="Arial" w:cs="Arial"/>
          <w:sz w:val="24"/>
          <w:szCs w:val="24"/>
        </w:rPr>
        <w:t>etoácidosis diabética</w:t>
      </w:r>
      <w:r w:rsidR="00BF0098" w:rsidRPr="00BF0098">
        <w:rPr>
          <w:rFonts w:ascii="Arial" w:hAnsi="Arial" w:cs="Arial"/>
          <w:b/>
          <w:sz w:val="24"/>
          <w:szCs w:val="24"/>
        </w:rPr>
        <w:t xml:space="preserve"> ,</w:t>
      </w:r>
      <w:r w:rsidR="00BF0098" w:rsidRPr="00BF0098">
        <w:rPr>
          <w:rFonts w:ascii="Arial" w:hAnsi="Arial" w:cs="Arial"/>
          <w:sz w:val="24"/>
          <w:szCs w:val="24"/>
        </w:rPr>
        <w:t>i</w:t>
      </w:r>
      <w:r w:rsidRPr="00BF0098">
        <w:rPr>
          <w:rFonts w:ascii="Arial" w:hAnsi="Arial" w:cs="Arial"/>
          <w:sz w:val="24"/>
          <w:szCs w:val="24"/>
        </w:rPr>
        <w:t>nfusión de glucosa</w:t>
      </w:r>
    </w:p>
    <w:p w:rsidR="003F55C3" w:rsidRPr="00BF0098" w:rsidRDefault="003F55C3" w:rsidP="00BF0098">
      <w:pPr>
        <w:spacing w:line="360" w:lineRule="auto"/>
        <w:jc w:val="both"/>
        <w:rPr>
          <w:rFonts w:ascii="Arial" w:hAnsi="Arial" w:cs="Arial"/>
          <w:b/>
          <w:sz w:val="24"/>
          <w:szCs w:val="24"/>
        </w:rPr>
      </w:pPr>
      <w:r w:rsidRPr="00BF0098">
        <w:rPr>
          <w:rFonts w:ascii="Arial" w:hAnsi="Arial" w:cs="Arial"/>
          <w:b/>
          <w:sz w:val="24"/>
          <w:szCs w:val="24"/>
        </w:rPr>
        <w:t xml:space="preserve">Pérdidas </w:t>
      </w:r>
      <w:proofErr w:type="gramStart"/>
      <w:r w:rsidRPr="00BF0098">
        <w:rPr>
          <w:rFonts w:ascii="Arial" w:hAnsi="Arial" w:cs="Arial"/>
          <w:b/>
          <w:sz w:val="24"/>
          <w:szCs w:val="24"/>
        </w:rPr>
        <w:t>gastrointestinales :</w:t>
      </w:r>
      <w:r w:rsidR="00BF0098" w:rsidRPr="00BF0098">
        <w:rPr>
          <w:rFonts w:ascii="Arial" w:hAnsi="Arial" w:cs="Arial"/>
          <w:sz w:val="24"/>
          <w:szCs w:val="24"/>
        </w:rPr>
        <w:t>s</w:t>
      </w:r>
      <w:r w:rsidRPr="00BF0098">
        <w:rPr>
          <w:rFonts w:ascii="Arial" w:hAnsi="Arial" w:cs="Arial"/>
          <w:sz w:val="24"/>
          <w:szCs w:val="24"/>
        </w:rPr>
        <w:t>ucción</w:t>
      </w:r>
      <w:proofErr w:type="gramEnd"/>
      <w:r w:rsidRPr="00BF0098">
        <w:rPr>
          <w:rFonts w:ascii="Arial" w:hAnsi="Arial" w:cs="Arial"/>
          <w:sz w:val="24"/>
          <w:szCs w:val="24"/>
        </w:rPr>
        <w:t xml:space="preserve"> nasogástrica, </w:t>
      </w:r>
      <w:r w:rsidR="00BF0098" w:rsidRPr="00BF0098">
        <w:rPr>
          <w:rFonts w:ascii="Arial" w:hAnsi="Arial" w:cs="Arial"/>
          <w:sz w:val="24"/>
          <w:szCs w:val="24"/>
        </w:rPr>
        <w:t>s</w:t>
      </w:r>
      <w:r w:rsidRPr="00BF0098">
        <w:rPr>
          <w:rFonts w:ascii="Arial" w:hAnsi="Arial" w:cs="Arial"/>
          <w:sz w:val="24"/>
          <w:szCs w:val="24"/>
        </w:rPr>
        <w:t>ecuestro farmacológico (hidróxido de aluminio, hidróxido de magnesio, carbonato de aluminio) ,</w:t>
      </w:r>
      <w:r w:rsidR="00BF0098" w:rsidRPr="00BF0098">
        <w:rPr>
          <w:rFonts w:ascii="Arial" w:hAnsi="Arial" w:cs="Arial"/>
          <w:sz w:val="24"/>
          <w:szCs w:val="24"/>
        </w:rPr>
        <w:t>m</w:t>
      </w:r>
      <w:r w:rsidRPr="00BF0098">
        <w:rPr>
          <w:rFonts w:ascii="Arial" w:hAnsi="Arial" w:cs="Arial"/>
          <w:sz w:val="24"/>
          <w:szCs w:val="24"/>
        </w:rPr>
        <w:t>alabsorción</w:t>
      </w:r>
    </w:p>
    <w:p w:rsidR="003F55C3" w:rsidRPr="00BF0098" w:rsidRDefault="003F55C3" w:rsidP="00BF0098">
      <w:pPr>
        <w:spacing w:line="360" w:lineRule="auto"/>
        <w:jc w:val="both"/>
        <w:rPr>
          <w:rFonts w:ascii="Arial" w:hAnsi="Arial" w:cs="Arial"/>
          <w:b/>
          <w:sz w:val="24"/>
          <w:szCs w:val="24"/>
        </w:rPr>
      </w:pPr>
      <w:r w:rsidRPr="00BF0098">
        <w:rPr>
          <w:rFonts w:ascii="Arial" w:hAnsi="Arial" w:cs="Arial"/>
          <w:b/>
          <w:sz w:val="24"/>
          <w:szCs w:val="24"/>
        </w:rPr>
        <w:t xml:space="preserve">Pérdidas </w:t>
      </w:r>
      <w:proofErr w:type="gramStart"/>
      <w:r w:rsidRPr="00BF0098">
        <w:rPr>
          <w:rFonts w:ascii="Arial" w:hAnsi="Arial" w:cs="Arial"/>
          <w:b/>
          <w:sz w:val="24"/>
          <w:szCs w:val="24"/>
        </w:rPr>
        <w:t>renales :</w:t>
      </w:r>
      <w:r w:rsidRPr="00BF0098">
        <w:rPr>
          <w:rFonts w:ascii="Arial" w:hAnsi="Arial" w:cs="Arial"/>
          <w:sz w:val="24"/>
          <w:szCs w:val="24"/>
        </w:rPr>
        <w:t>Fallo</w:t>
      </w:r>
      <w:proofErr w:type="gramEnd"/>
      <w:r w:rsidRPr="00BF0098">
        <w:rPr>
          <w:rFonts w:ascii="Arial" w:hAnsi="Arial" w:cs="Arial"/>
          <w:sz w:val="24"/>
          <w:szCs w:val="24"/>
        </w:rPr>
        <w:t xml:space="preserve"> tubular</w:t>
      </w:r>
      <w:r w:rsidRPr="00BF0098">
        <w:rPr>
          <w:rFonts w:ascii="Arial" w:hAnsi="Arial" w:cs="Arial"/>
          <w:b/>
          <w:sz w:val="24"/>
          <w:szCs w:val="24"/>
        </w:rPr>
        <w:t xml:space="preserve"> ,</w:t>
      </w:r>
      <w:r w:rsidRPr="00BF0098">
        <w:rPr>
          <w:rFonts w:ascii="Arial" w:hAnsi="Arial" w:cs="Arial"/>
          <w:sz w:val="24"/>
          <w:szCs w:val="24"/>
        </w:rPr>
        <w:t>Hipomagnesemia</w:t>
      </w:r>
      <w:r w:rsidRPr="00BF0098">
        <w:rPr>
          <w:rFonts w:ascii="Arial" w:hAnsi="Arial" w:cs="Arial"/>
          <w:b/>
          <w:sz w:val="24"/>
          <w:szCs w:val="24"/>
        </w:rPr>
        <w:t xml:space="preserve"> ,</w:t>
      </w:r>
      <w:r w:rsidR="00BF0098" w:rsidRPr="00BF0098">
        <w:rPr>
          <w:rFonts w:ascii="Arial" w:hAnsi="Arial" w:cs="Arial"/>
          <w:sz w:val="24"/>
          <w:szCs w:val="24"/>
        </w:rPr>
        <w:t>d</w:t>
      </w:r>
      <w:r w:rsidRPr="00BF0098">
        <w:rPr>
          <w:rFonts w:ascii="Arial" w:hAnsi="Arial" w:cs="Arial"/>
          <w:sz w:val="24"/>
          <w:szCs w:val="24"/>
        </w:rPr>
        <w:t>espués del trasplante renal</w:t>
      </w:r>
      <w:r w:rsidR="00BF0098" w:rsidRPr="00BF0098">
        <w:rPr>
          <w:rFonts w:ascii="Arial" w:hAnsi="Arial" w:cs="Arial"/>
          <w:b/>
          <w:sz w:val="24"/>
          <w:szCs w:val="24"/>
        </w:rPr>
        <w:t xml:space="preserve"> ,</w:t>
      </w:r>
      <w:r w:rsidR="00BF0098" w:rsidRPr="00BF0098">
        <w:rPr>
          <w:rFonts w:ascii="Arial" w:hAnsi="Arial" w:cs="Arial"/>
          <w:sz w:val="24"/>
          <w:szCs w:val="24"/>
        </w:rPr>
        <w:t>d</w:t>
      </w:r>
      <w:r w:rsidRPr="00BF0098">
        <w:rPr>
          <w:rFonts w:ascii="Arial" w:hAnsi="Arial" w:cs="Arial"/>
          <w:sz w:val="24"/>
          <w:szCs w:val="24"/>
        </w:rPr>
        <w:t>éficit vitamina D ,</w:t>
      </w:r>
      <w:r w:rsidR="00BF0098" w:rsidRPr="00BF0098">
        <w:rPr>
          <w:rFonts w:ascii="Arial" w:hAnsi="Arial" w:cs="Arial"/>
          <w:sz w:val="24"/>
          <w:szCs w:val="24"/>
        </w:rPr>
        <w:t>r</w:t>
      </w:r>
      <w:r w:rsidRPr="00BF0098">
        <w:rPr>
          <w:rFonts w:ascii="Arial" w:hAnsi="Arial" w:cs="Arial"/>
          <w:sz w:val="24"/>
          <w:szCs w:val="24"/>
        </w:rPr>
        <w:t>ecuperación gran quemado</w:t>
      </w:r>
    </w:p>
    <w:p w:rsidR="003F55C3" w:rsidRPr="00BF0098" w:rsidRDefault="003F55C3" w:rsidP="00BF0098">
      <w:pPr>
        <w:spacing w:line="360" w:lineRule="auto"/>
        <w:jc w:val="both"/>
        <w:rPr>
          <w:rFonts w:ascii="Arial" w:hAnsi="Arial" w:cs="Arial"/>
          <w:b/>
          <w:sz w:val="24"/>
          <w:szCs w:val="24"/>
        </w:rPr>
      </w:pPr>
      <w:r w:rsidRPr="00BF0098">
        <w:rPr>
          <w:rFonts w:ascii="Arial" w:hAnsi="Arial" w:cs="Arial"/>
          <w:b/>
          <w:sz w:val="24"/>
          <w:szCs w:val="24"/>
        </w:rPr>
        <w:t>Farmacológica</w:t>
      </w:r>
      <w:proofErr w:type="gramStart"/>
      <w:r w:rsidRPr="00BF0098">
        <w:rPr>
          <w:rFonts w:ascii="Arial" w:hAnsi="Arial" w:cs="Arial"/>
          <w:b/>
          <w:sz w:val="24"/>
          <w:szCs w:val="24"/>
        </w:rPr>
        <w:t>:</w:t>
      </w:r>
      <w:r w:rsidR="00BF0098" w:rsidRPr="00BF0098">
        <w:rPr>
          <w:rFonts w:ascii="Arial" w:hAnsi="Arial" w:cs="Arial"/>
          <w:sz w:val="24"/>
          <w:szCs w:val="24"/>
        </w:rPr>
        <w:t>i</w:t>
      </w:r>
      <w:r w:rsidRPr="00BF0098">
        <w:rPr>
          <w:rFonts w:ascii="Arial" w:hAnsi="Arial" w:cs="Arial"/>
          <w:sz w:val="24"/>
          <w:szCs w:val="24"/>
        </w:rPr>
        <w:t>nsulina</w:t>
      </w:r>
      <w:proofErr w:type="gramEnd"/>
      <w:r w:rsidRPr="00BF0098">
        <w:rPr>
          <w:rFonts w:ascii="Arial" w:hAnsi="Arial" w:cs="Arial"/>
          <w:b/>
          <w:sz w:val="24"/>
          <w:szCs w:val="24"/>
        </w:rPr>
        <w:t xml:space="preserve"> ,</w:t>
      </w:r>
      <w:r w:rsidR="00BF0098" w:rsidRPr="00BF0098">
        <w:rPr>
          <w:rFonts w:ascii="Arial" w:hAnsi="Arial" w:cs="Arial"/>
          <w:sz w:val="24"/>
          <w:szCs w:val="24"/>
        </w:rPr>
        <w:t>d</w:t>
      </w:r>
      <w:r w:rsidRPr="00BF0098">
        <w:rPr>
          <w:rFonts w:ascii="Arial" w:hAnsi="Arial" w:cs="Arial"/>
          <w:sz w:val="24"/>
          <w:szCs w:val="24"/>
        </w:rPr>
        <w:t>iuréticos</w:t>
      </w:r>
      <w:r w:rsidRPr="00BF0098">
        <w:rPr>
          <w:rFonts w:ascii="Arial" w:hAnsi="Arial" w:cs="Arial"/>
          <w:b/>
          <w:sz w:val="24"/>
          <w:szCs w:val="24"/>
        </w:rPr>
        <w:t xml:space="preserve"> ,</w:t>
      </w:r>
      <w:r w:rsidR="00BF0098" w:rsidRPr="00BF0098">
        <w:rPr>
          <w:rFonts w:ascii="Arial" w:hAnsi="Arial" w:cs="Arial"/>
          <w:sz w:val="24"/>
          <w:szCs w:val="24"/>
        </w:rPr>
        <w:t>a</w:t>
      </w:r>
      <w:r w:rsidRPr="00BF0098">
        <w:rPr>
          <w:rFonts w:ascii="Arial" w:hAnsi="Arial" w:cs="Arial"/>
          <w:sz w:val="24"/>
          <w:szCs w:val="24"/>
        </w:rPr>
        <w:t>ntiácidos</w:t>
      </w:r>
    </w:p>
    <w:p w:rsidR="003F55C3" w:rsidRPr="00BF0098" w:rsidRDefault="003F55C3" w:rsidP="00BF0098">
      <w:pPr>
        <w:spacing w:line="360" w:lineRule="auto"/>
        <w:jc w:val="both"/>
        <w:rPr>
          <w:rFonts w:ascii="Arial" w:hAnsi="Arial" w:cs="Arial"/>
          <w:b/>
          <w:sz w:val="24"/>
          <w:szCs w:val="24"/>
        </w:rPr>
      </w:pPr>
      <w:r w:rsidRPr="00BF0098">
        <w:rPr>
          <w:rFonts w:ascii="Arial" w:hAnsi="Arial" w:cs="Arial"/>
          <w:b/>
          <w:sz w:val="24"/>
          <w:szCs w:val="24"/>
        </w:rPr>
        <w:t xml:space="preserve">Otras pérdidas: </w:t>
      </w:r>
      <w:r w:rsidR="00BF0098" w:rsidRPr="00BF0098">
        <w:rPr>
          <w:rFonts w:ascii="Arial" w:hAnsi="Arial" w:cs="Arial"/>
          <w:sz w:val="24"/>
          <w:szCs w:val="24"/>
        </w:rPr>
        <w:t>d</w:t>
      </w:r>
      <w:r w:rsidRPr="00BF0098">
        <w:rPr>
          <w:rFonts w:ascii="Arial" w:hAnsi="Arial" w:cs="Arial"/>
          <w:sz w:val="24"/>
          <w:szCs w:val="24"/>
        </w:rPr>
        <w:t>iálisis</w:t>
      </w:r>
      <w:r w:rsidRPr="00BF0098">
        <w:rPr>
          <w:rFonts w:ascii="Arial" w:hAnsi="Arial" w:cs="Arial"/>
          <w:b/>
          <w:sz w:val="24"/>
          <w:szCs w:val="24"/>
        </w:rPr>
        <w:t xml:space="preserve">, </w:t>
      </w:r>
      <w:r w:rsidR="00BF0098" w:rsidRPr="00BF0098">
        <w:rPr>
          <w:rFonts w:ascii="Arial" w:hAnsi="Arial" w:cs="Arial"/>
          <w:sz w:val="24"/>
          <w:szCs w:val="24"/>
        </w:rPr>
        <w:t>h</w:t>
      </w:r>
      <w:r w:rsidRPr="00BF0098">
        <w:rPr>
          <w:rFonts w:ascii="Arial" w:hAnsi="Arial" w:cs="Arial"/>
          <w:sz w:val="24"/>
          <w:szCs w:val="24"/>
        </w:rPr>
        <w:t>emodiálisis</w:t>
      </w:r>
    </w:p>
    <w:p w:rsidR="003F55C3" w:rsidRPr="00BF0098" w:rsidRDefault="003F55C3" w:rsidP="00BF0098">
      <w:pPr>
        <w:spacing w:line="360" w:lineRule="auto"/>
        <w:jc w:val="both"/>
        <w:rPr>
          <w:rFonts w:ascii="Arial" w:hAnsi="Arial" w:cs="Arial"/>
          <w:b/>
          <w:sz w:val="24"/>
          <w:szCs w:val="24"/>
        </w:rPr>
      </w:pPr>
      <w:r w:rsidRPr="00BF0098">
        <w:rPr>
          <w:rFonts w:ascii="Arial" w:hAnsi="Arial" w:cs="Arial"/>
          <w:b/>
          <w:sz w:val="24"/>
          <w:szCs w:val="24"/>
        </w:rPr>
        <w:t>Cuadro clínico</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Aunque el cuadro clínico es diverso, en general es consecuencia de un déficit intracelular de los depósitos de energía (ATP), y de la hipoxia tisular secundaria a la depleción de 2,3 DPG intraeritrocitario.</w:t>
      </w:r>
    </w:p>
    <w:p w:rsidR="003F55C3" w:rsidRPr="00BF0098" w:rsidRDefault="003F55C3" w:rsidP="00BF0098">
      <w:pPr>
        <w:spacing w:line="360" w:lineRule="auto"/>
        <w:jc w:val="both"/>
        <w:rPr>
          <w:rFonts w:ascii="Arial" w:hAnsi="Arial" w:cs="Arial"/>
          <w:sz w:val="24"/>
          <w:szCs w:val="24"/>
        </w:rPr>
      </w:pPr>
      <w:smartTag w:uri="urn:schemas-microsoft-com:office:smarttags" w:element="PersonName">
        <w:smartTagPr>
          <w:attr w:name="ProductID" w:val="La Hipofosfatemia"/>
        </w:smartTagPr>
        <w:r w:rsidRPr="00BF0098">
          <w:rPr>
            <w:rFonts w:ascii="Arial" w:hAnsi="Arial" w:cs="Arial"/>
            <w:sz w:val="24"/>
            <w:szCs w:val="24"/>
          </w:rPr>
          <w:t>La Hipofosfatemia</w:t>
        </w:r>
      </w:smartTag>
      <w:r w:rsidRPr="00BF0098">
        <w:rPr>
          <w:rFonts w:ascii="Arial" w:hAnsi="Arial" w:cs="Arial"/>
          <w:sz w:val="24"/>
          <w:szCs w:val="24"/>
        </w:rPr>
        <w:t xml:space="preserve"> afecta todos los órganos de la economía cuando sus concentraciones sér</w:t>
      </w:r>
      <w:r w:rsidR="00BF0098" w:rsidRPr="00BF0098">
        <w:rPr>
          <w:rFonts w:ascii="Arial" w:hAnsi="Arial" w:cs="Arial"/>
          <w:sz w:val="24"/>
          <w:szCs w:val="24"/>
        </w:rPr>
        <w:t xml:space="preserve">icas son inferiores </w:t>
      </w:r>
      <w:r w:rsidRPr="00BF0098">
        <w:rPr>
          <w:rFonts w:ascii="Arial" w:hAnsi="Arial" w:cs="Arial"/>
          <w:sz w:val="24"/>
          <w:szCs w:val="24"/>
        </w:rPr>
        <w:t xml:space="preserve"> a 0,46 mmol/L.</w:t>
      </w:r>
    </w:p>
    <w:p w:rsidR="003F55C3" w:rsidRPr="00BF0098" w:rsidRDefault="003F55C3" w:rsidP="00BF0098">
      <w:pPr>
        <w:spacing w:line="360" w:lineRule="auto"/>
        <w:jc w:val="both"/>
        <w:rPr>
          <w:rFonts w:ascii="Arial" w:hAnsi="Arial" w:cs="Arial"/>
          <w:b/>
          <w:sz w:val="24"/>
          <w:szCs w:val="24"/>
        </w:rPr>
      </w:pPr>
      <w:r w:rsidRPr="00BF0098">
        <w:rPr>
          <w:rFonts w:ascii="Arial" w:hAnsi="Arial" w:cs="Arial"/>
          <w:b/>
          <w:sz w:val="24"/>
          <w:szCs w:val="24"/>
        </w:rPr>
        <w:lastRenderedPageBreak/>
        <w:t>Neuromuscular:</w:t>
      </w:r>
      <w:r w:rsidR="00BF0098" w:rsidRPr="00BF0098">
        <w:rPr>
          <w:rFonts w:ascii="Arial" w:hAnsi="Arial" w:cs="Arial"/>
          <w:b/>
          <w:sz w:val="24"/>
          <w:szCs w:val="24"/>
        </w:rPr>
        <w:t xml:space="preserve"> </w:t>
      </w:r>
      <w:r w:rsidRPr="00BF0098">
        <w:rPr>
          <w:rFonts w:ascii="Arial" w:hAnsi="Arial" w:cs="Arial"/>
          <w:sz w:val="24"/>
          <w:szCs w:val="24"/>
        </w:rPr>
        <w:t>Debilidad</w:t>
      </w:r>
      <w:proofErr w:type="gramStart"/>
      <w:r w:rsidRPr="00BF0098">
        <w:rPr>
          <w:rFonts w:ascii="Arial" w:hAnsi="Arial" w:cs="Arial"/>
          <w:b/>
          <w:sz w:val="24"/>
          <w:szCs w:val="24"/>
        </w:rPr>
        <w:t>,</w:t>
      </w:r>
      <w:r w:rsidR="00BF0098" w:rsidRPr="00BF0098">
        <w:rPr>
          <w:rFonts w:ascii="Arial" w:hAnsi="Arial" w:cs="Arial"/>
          <w:sz w:val="24"/>
          <w:szCs w:val="24"/>
        </w:rPr>
        <w:t xml:space="preserve"> ,</w:t>
      </w:r>
      <w:proofErr w:type="gramEnd"/>
      <w:r w:rsidR="00BF0098" w:rsidRPr="00BF0098">
        <w:rPr>
          <w:rFonts w:ascii="Arial" w:hAnsi="Arial" w:cs="Arial"/>
          <w:sz w:val="24"/>
          <w:szCs w:val="24"/>
        </w:rPr>
        <w:t xml:space="preserve"> miopatia</w:t>
      </w:r>
      <w:r w:rsidR="00BF0098" w:rsidRPr="00BF0098">
        <w:rPr>
          <w:rFonts w:ascii="Arial" w:hAnsi="Arial" w:cs="Arial"/>
          <w:b/>
          <w:sz w:val="24"/>
          <w:szCs w:val="24"/>
        </w:rPr>
        <w:t xml:space="preserve"> </w:t>
      </w:r>
      <w:r w:rsidRPr="00BF0098">
        <w:rPr>
          <w:rFonts w:ascii="Arial" w:hAnsi="Arial" w:cs="Arial"/>
          <w:b/>
          <w:sz w:val="24"/>
          <w:szCs w:val="24"/>
        </w:rPr>
        <w:t>,</w:t>
      </w:r>
      <w:r w:rsidRPr="00BF0098">
        <w:rPr>
          <w:rFonts w:ascii="Arial" w:hAnsi="Arial" w:cs="Arial"/>
          <w:sz w:val="24"/>
          <w:szCs w:val="24"/>
        </w:rPr>
        <w:t>Rabdomiolisis</w:t>
      </w:r>
      <w:r w:rsidRPr="00BF0098">
        <w:rPr>
          <w:rFonts w:ascii="Arial" w:hAnsi="Arial" w:cs="Arial"/>
          <w:b/>
          <w:sz w:val="24"/>
          <w:szCs w:val="24"/>
        </w:rPr>
        <w:t xml:space="preserve"> ,</w:t>
      </w:r>
      <w:r w:rsidRPr="00BF0098">
        <w:rPr>
          <w:rFonts w:ascii="Arial" w:hAnsi="Arial" w:cs="Arial"/>
          <w:sz w:val="24"/>
          <w:szCs w:val="24"/>
        </w:rPr>
        <w:t>Disartriataxia,</w:t>
      </w:r>
      <w:r w:rsidR="00BF0098" w:rsidRPr="00BF0098">
        <w:rPr>
          <w:rFonts w:ascii="Arial" w:hAnsi="Arial" w:cs="Arial"/>
          <w:sz w:val="24"/>
          <w:szCs w:val="24"/>
        </w:rPr>
        <w:t xml:space="preserve"> </w:t>
      </w:r>
      <w:r w:rsidRPr="00BF0098">
        <w:rPr>
          <w:rFonts w:ascii="Arial" w:hAnsi="Arial" w:cs="Arial"/>
          <w:sz w:val="24"/>
          <w:szCs w:val="24"/>
        </w:rPr>
        <w:t>Obnubilación</w:t>
      </w:r>
      <w:r w:rsidR="00BF0098" w:rsidRPr="00BF0098">
        <w:rPr>
          <w:rFonts w:ascii="Arial" w:hAnsi="Arial" w:cs="Arial"/>
          <w:b/>
          <w:sz w:val="24"/>
          <w:szCs w:val="24"/>
        </w:rPr>
        <w:t xml:space="preserve"> ,</w:t>
      </w:r>
      <w:r w:rsidRPr="00BF0098">
        <w:rPr>
          <w:rFonts w:ascii="Arial" w:hAnsi="Arial" w:cs="Arial"/>
          <w:sz w:val="24"/>
          <w:szCs w:val="24"/>
        </w:rPr>
        <w:t>Convulsiones ,Coma</w:t>
      </w:r>
    </w:p>
    <w:p w:rsidR="003F55C3" w:rsidRPr="00BF0098" w:rsidRDefault="003F55C3" w:rsidP="00BF0098">
      <w:pPr>
        <w:spacing w:line="360" w:lineRule="auto"/>
        <w:jc w:val="both"/>
        <w:rPr>
          <w:rFonts w:ascii="Arial" w:hAnsi="Arial" w:cs="Arial"/>
          <w:b/>
          <w:sz w:val="24"/>
          <w:szCs w:val="24"/>
        </w:rPr>
      </w:pPr>
      <w:r w:rsidRPr="00BF0098">
        <w:rPr>
          <w:rFonts w:ascii="Arial" w:hAnsi="Arial" w:cs="Arial"/>
          <w:b/>
          <w:sz w:val="24"/>
          <w:szCs w:val="24"/>
        </w:rPr>
        <w:t>Metabólica</w:t>
      </w:r>
      <w:proofErr w:type="gramStart"/>
      <w:r w:rsidRPr="00BF0098">
        <w:rPr>
          <w:rFonts w:ascii="Arial" w:hAnsi="Arial" w:cs="Arial"/>
          <w:b/>
          <w:sz w:val="24"/>
          <w:szCs w:val="24"/>
        </w:rPr>
        <w:t>: ,</w:t>
      </w:r>
      <w:proofErr w:type="gramEnd"/>
      <w:r w:rsidRPr="00BF0098">
        <w:rPr>
          <w:rFonts w:ascii="Arial" w:hAnsi="Arial" w:cs="Arial"/>
          <w:sz w:val="24"/>
          <w:szCs w:val="24"/>
        </w:rPr>
        <w:t>Hipercalcemia</w:t>
      </w:r>
      <w:r w:rsidRPr="00BF0098">
        <w:rPr>
          <w:rFonts w:ascii="Arial" w:hAnsi="Arial" w:cs="Arial"/>
          <w:b/>
          <w:sz w:val="24"/>
          <w:szCs w:val="24"/>
        </w:rPr>
        <w:t xml:space="preserve"> ,</w:t>
      </w:r>
      <w:r w:rsidRPr="00BF0098">
        <w:rPr>
          <w:rFonts w:ascii="Arial" w:hAnsi="Arial" w:cs="Arial"/>
          <w:sz w:val="24"/>
          <w:szCs w:val="24"/>
        </w:rPr>
        <w:t>Hipermagnesemia</w:t>
      </w:r>
      <w:r w:rsidRPr="00BF0098">
        <w:rPr>
          <w:rFonts w:ascii="Arial" w:hAnsi="Arial" w:cs="Arial"/>
          <w:b/>
          <w:sz w:val="24"/>
          <w:szCs w:val="24"/>
        </w:rPr>
        <w:t xml:space="preserve"> ,</w:t>
      </w:r>
      <w:r w:rsidRPr="00BF0098">
        <w:rPr>
          <w:rFonts w:ascii="Arial" w:hAnsi="Arial" w:cs="Arial"/>
          <w:sz w:val="24"/>
          <w:szCs w:val="24"/>
        </w:rPr>
        <w:t>Intolerancia a la glucosa</w:t>
      </w:r>
    </w:p>
    <w:p w:rsidR="003F55C3" w:rsidRPr="00BF0098" w:rsidRDefault="003F55C3" w:rsidP="00BF0098">
      <w:pPr>
        <w:spacing w:line="360" w:lineRule="auto"/>
        <w:jc w:val="both"/>
        <w:rPr>
          <w:rFonts w:ascii="Arial" w:hAnsi="Arial" w:cs="Arial"/>
          <w:b/>
          <w:sz w:val="24"/>
          <w:szCs w:val="24"/>
        </w:rPr>
      </w:pPr>
      <w:r w:rsidRPr="00BF0098">
        <w:rPr>
          <w:rFonts w:ascii="Arial" w:hAnsi="Arial" w:cs="Arial"/>
          <w:b/>
          <w:sz w:val="24"/>
          <w:szCs w:val="24"/>
        </w:rPr>
        <w:t>Insuficiencia miocárdica</w:t>
      </w:r>
    </w:p>
    <w:p w:rsidR="003F55C3" w:rsidRPr="00BF0098" w:rsidRDefault="003F55C3" w:rsidP="00BF0098">
      <w:pPr>
        <w:spacing w:line="360" w:lineRule="auto"/>
        <w:jc w:val="both"/>
        <w:rPr>
          <w:rFonts w:ascii="Arial" w:hAnsi="Arial" w:cs="Arial"/>
          <w:b/>
          <w:sz w:val="24"/>
          <w:szCs w:val="24"/>
        </w:rPr>
      </w:pPr>
      <w:r w:rsidRPr="00BF0098">
        <w:rPr>
          <w:rFonts w:ascii="Arial" w:hAnsi="Arial" w:cs="Arial"/>
          <w:b/>
          <w:sz w:val="24"/>
          <w:szCs w:val="24"/>
        </w:rPr>
        <w:t>Insuficiencia respiratoria</w:t>
      </w:r>
    </w:p>
    <w:p w:rsidR="003F55C3" w:rsidRPr="00BF0098" w:rsidRDefault="003F55C3" w:rsidP="00BF0098">
      <w:pPr>
        <w:spacing w:line="360" w:lineRule="auto"/>
        <w:jc w:val="both"/>
        <w:rPr>
          <w:rFonts w:ascii="Arial" w:hAnsi="Arial" w:cs="Arial"/>
          <w:b/>
          <w:sz w:val="24"/>
          <w:szCs w:val="24"/>
        </w:rPr>
      </w:pPr>
      <w:r w:rsidRPr="00BF0098">
        <w:rPr>
          <w:rFonts w:ascii="Arial" w:hAnsi="Arial" w:cs="Arial"/>
          <w:b/>
          <w:sz w:val="24"/>
          <w:szCs w:val="24"/>
        </w:rPr>
        <w:t xml:space="preserve">Hematológica: </w:t>
      </w:r>
      <w:r w:rsidRPr="00BF0098">
        <w:rPr>
          <w:rFonts w:ascii="Arial" w:hAnsi="Arial" w:cs="Arial"/>
          <w:sz w:val="24"/>
          <w:szCs w:val="24"/>
        </w:rPr>
        <w:t>Hemólisis</w:t>
      </w:r>
      <w:proofErr w:type="gramStart"/>
      <w:r w:rsidRPr="00BF0098">
        <w:rPr>
          <w:rFonts w:ascii="Arial" w:hAnsi="Arial" w:cs="Arial"/>
          <w:b/>
          <w:sz w:val="24"/>
          <w:szCs w:val="24"/>
        </w:rPr>
        <w:t>,</w:t>
      </w:r>
      <w:r w:rsidRPr="00BF0098">
        <w:rPr>
          <w:rFonts w:ascii="Arial" w:hAnsi="Arial" w:cs="Arial"/>
          <w:sz w:val="24"/>
          <w:szCs w:val="24"/>
        </w:rPr>
        <w:t>Disfunción</w:t>
      </w:r>
      <w:proofErr w:type="gramEnd"/>
      <w:r w:rsidRPr="00BF0098">
        <w:rPr>
          <w:rFonts w:ascii="Arial" w:hAnsi="Arial" w:cs="Arial"/>
          <w:sz w:val="24"/>
          <w:szCs w:val="24"/>
        </w:rPr>
        <w:t xml:space="preserve"> plaquetaria</w:t>
      </w:r>
      <w:r w:rsidRPr="00BF0098">
        <w:rPr>
          <w:rFonts w:ascii="Arial" w:hAnsi="Arial" w:cs="Arial"/>
          <w:b/>
          <w:sz w:val="24"/>
          <w:szCs w:val="24"/>
        </w:rPr>
        <w:t xml:space="preserve"> ,</w:t>
      </w:r>
      <w:r w:rsidRPr="00BF0098">
        <w:rPr>
          <w:rFonts w:ascii="Arial" w:hAnsi="Arial" w:cs="Arial"/>
          <w:sz w:val="24"/>
          <w:szCs w:val="24"/>
        </w:rPr>
        <w:t>Disfunción leucocitaria</w:t>
      </w:r>
    </w:p>
    <w:p w:rsidR="003F55C3" w:rsidRPr="00BF0098" w:rsidRDefault="003F55C3" w:rsidP="00BF0098">
      <w:pPr>
        <w:spacing w:line="360" w:lineRule="auto"/>
        <w:jc w:val="both"/>
        <w:rPr>
          <w:rFonts w:ascii="Arial" w:hAnsi="Arial" w:cs="Arial"/>
          <w:b/>
          <w:sz w:val="24"/>
          <w:szCs w:val="24"/>
        </w:rPr>
      </w:pPr>
      <w:r w:rsidRPr="00BF0098">
        <w:rPr>
          <w:rFonts w:ascii="Arial" w:hAnsi="Arial" w:cs="Arial"/>
          <w:b/>
          <w:sz w:val="24"/>
          <w:szCs w:val="24"/>
        </w:rPr>
        <w:t>Hipoxia tisular</w:t>
      </w:r>
    </w:p>
    <w:p w:rsidR="003F55C3" w:rsidRPr="00BF0098" w:rsidRDefault="003F55C3" w:rsidP="00BF0098">
      <w:pPr>
        <w:spacing w:line="360" w:lineRule="auto"/>
        <w:jc w:val="both"/>
        <w:rPr>
          <w:rFonts w:ascii="Arial" w:hAnsi="Arial" w:cs="Arial"/>
          <w:b/>
          <w:sz w:val="24"/>
          <w:szCs w:val="24"/>
        </w:rPr>
      </w:pPr>
      <w:r w:rsidRPr="00BF0098">
        <w:rPr>
          <w:rFonts w:ascii="Arial" w:hAnsi="Arial" w:cs="Arial"/>
          <w:b/>
          <w:sz w:val="24"/>
          <w:szCs w:val="24"/>
        </w:rPr>
        <w:t xml:space="preserve">Gastrointestinal: </w:t>
      </w:r>
      <w:r w:rsidRPr="00BF0098">
        <w:rPr>
          <w:rFonts w:ascii="Arial" w:hAnsi="Arial" w:cs="Arial"/>
          <w:sz w:val="24"/>
          <w:szCs w:val="24"/>
        </w:rPr>
        <w:t>Nauseas</w:t>
      </w:r>
      <w:r w:rsidRPr="00BF0098">
        <w:rPr>
          <w:rFonts w:ascii="Arial" w:hAnsi="Arial" w:cs="Arial"/>
          <w:b/>
          <w:sz w:val="24"/>
          <w:szCs w:val="24"/>
        </w:rPr>
        <w:t xml:space="preserve">, </w:t>
      </w:r>
      <w:r w:rsidRPr="00BF0098">
        <w:rPr>
          <w:rFonts w:ascii="Arial" w:hAnsi="Arial" w:cs="Arial"/>
          <w:sz w:val="24"/>
          <w:szCs w:val="24"/>
        </w:rPr>
        <w:t>Vómitos</w:t>
      </w:r>
    </w:p>
    <w:p w:rsidR="003F55C3" w:rsidRPr="00BF0098" w:rsidRDefault="003F55C3" w:rsidP="00BF0098">
      <w:pPr>
        <w:spacing w:line="360" w:lineRule="auto"/>
        <w:jc w:val="both"/>
        <w:rPr>
          <w:rFonts w:ascii="Arial" w:hAnsi="Arial" w:cs="Arial"/>
          <w:b/>
          <w:sz w:val="24"/>
          <w:szCs w:val="24"/>
        </w:rPr>
      </w:pPr>
      <w:proofErr w:type="gramStart"/>
      <w:r w:rsidRPr="00BF0098">
        <w:rPr>
          <w:rFonts w:ascii="Arial" w:hAnsi="Arial" w:cs="Arial"/>
          <w:b/>
          <w:sz w:val="24"/>
          <w:szCs w:val="24"/>
        </w:rPr>
        <w:t>Psiquiátricas :C</w:t>
      </w:r>
      <w:r w:rsidRPr="00BF0098">
        <w:rPr>
          <w:rFonts w:ascii="Arial" w:hAnsi="Arial" w:cs="Arial"/>
          <w:sz w:val="24"/>
          <w:szCs w:val="24"/>
        </w:rPr>
        <w:t>onfusión</w:t>
      </w:r>
      <w:r w:rsidRPr="00BF0098">
        <w:rPr>
          <w:rFonts w:ascii="Arial" w:hAnsi="Arial" w:cs="Arial"/>
          <w:b/>
          <w:sz w:val="24"/>
          <w:szCs w:val="24"/>
        </w:rPr>
        <w:t>,</w:t>
      </w:r>
      <w:r w:rsidRPr="00BF0098">
        <w:rPr>
          <w:rFonts w:ascii="Arial" w:hAnsi="Arial" w:cs="Arial"/>
          <w:sz w:val="24"/>
          <w:szCs w:val="24"/>
        </w:rPr>
        <w:t>Delirio</w:t>
      </w:r>
      <w:proofErr w:type="gramEnd"/>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En pacientes graves con factores de riesgos en los que se hagan 2 determinaciones de fósforo semanales y las cifras se encuentran por debajo de 0,77 mmol/L evaluar los siguientes parámetros:</w:t>
      </w:r>
    </w:p>
    <w:p w:rsidR="003F55C3" w:rsidRPr="00BF0098" w:rsidRDefault="003F55C3" w:rsidP="00BF0098">
      <w:pPr>
        <w:numPr>
          <w:ilvl w:val="0"/>
          <w:numId w:val="29"/>
        </w:numPr>
        <w:spacing w:after="0" w:line="360" w:lineRule="auto"/>
        <w:ind w:left="0" w:firstLine="0"/>
        <w:jc w:val="both"/>
        <w:rPr>
          <w:rFonts w:ascii="Arial" w:hAnsi="Arial" w:cs="Arial"/>
          <w:sz w:val="24"/>
          <w:szCs w:val="24"/>
        </w:rPr>
      </w:pPr>
      <w:r w:rsidRPr="00BF0098">
        <w:rPr>
          <w:rFonts w:ascii="Arial" w:hAnsi="Arial" w:cs="Arial"/>
          <w:sz w:val="24"/>
          <w:szCs w:val="24"/>
        </w:rPr>
        <w:t>Tratamiento de la causa.</w:t>
      </w:r>
    </w:p>
    <w:p w:rsidR="003F55C3" w:rsidRPr="00BF0098" w:rsidRDefault="003F55C3" w:rsidP="00BF0098">
      <w:pPr>
        <w:numPr>
          <w:ilvl w:val="0"/>
          <w:numId w:val="29"/>
        </w:numPr>
        <w:spacing w:after="0" w:line="360" w:lineRule="auto"/>
        <w:ind w:left="0" w:firstLine="0"/>
        <w:jc w:val="both"/>
        <w:rPr>
          <w:rFonts w:ascii="Arial" w:hAnsi="Arial" w:cs="Arial"/>
          <w:sz w:val="24"/>
          <w:szCs w:val="24"/>
        </w:rPr>
      </w:pPr>
      <w:r w:rsidRPr="00BF0098">
        <w:rPr>
          <w:rFonts w:ascii="Arial" w:hAnsi="Arial" w:cs="Arial"/>
          <w:sz w:val="24"/>
          <w:szCs w:val="24"/>
        </w:rPr>
        <w:t>Definir si el trastorno es sintomático o asintomático.</w:t>
      </w:r>
    </w:p>
    <w:p w:rsidR="003F55C3" w:rsidRPr="00BF0098" w:rsidRDefault="003F55C3" w:rsidP="00BF0098">
      <w:pPr>
        <w:numPr>
          <w:ilvl w:val="0"/>
          <w:numId w:val="29"/>
        </w:numPr>
        <w:spacing w:after="0" w:line="360" w:lineRule="auto"/>
        <w:ind w:left="0" w:firstLine="0"/>
        <w:jc w:val="both"/>
        <w:rPr>
          <w:rFonts w:ascii="Arial" w:hAnsi="Arial" w:cs="Arial"/>
          <w:sz w:val="24"/>
          <w:szCs w:val="24"/>
        </w:rPr>
      </w:pPr>
      <w:r w:rsidRPr="00BF0098">
        <w:rPr>
          <w:rFonts w:ascii="Arial" w:hAnsi="Arial" w:cs="Arial"/>
          <w:sz w:val="24"/>
          <w:szCs w:val="24"/>
        </w:rPr>
        <w:t>Clasificar los trastornos  según las cifras de fósforo en ligero, moderado y grave.</w:t>
      </w:r>
    </w:p>
    <w:p w:rsidR="003F55C3" w:rsidRPr="00BF0098" w:rsidRDefault="003F55C3" w:rsidP="00BF0098">
      <w:pPr>
        <w:numPr>
          <w:ilvl w:val="0"/>
          <w:numId w:val="29"/>
        </w:numPr>
        <w:spacing w:after="0" w:line="360" w:lineRule="auto"/>
        <w:ind w:left="0" w:firstLine="0"/>
        <w:jc w:val="both"/>
        <w:rPr>
          <w:rFonts w:ascii="Arial" w:hAnsi="Arial" w:cs="Arial"/>
          <w:sz w:val="24"/>
          <w:szCs w:val="24"/>
        </w:rPr>
      </w:pPr>
      <w:r w:rsidRPr="00BF0098">
        <w:rPr>
          <w:rFonts w:ascii="Arial" w:hAnsi="Arial" w:cs="Arial"/>
          <w:sz w:val="24"/>
          <w:szCs w:val="24"/>
        </w:rPr>
        <w:t>Medir las concentraciones de fosfato en la orina.</w:t>
      </w:r>
    </w:p>
    <w:p w:rsidR="003F55C3" w:rsidRPr="00BF0098" w:rsidRDefault="003F55C3" w:rsidP="00BF0098">
      <w:pPr>
        <w:numPr>
          <w:ilvl w:val="0"/>
          <w:numId w:val="29"/>
        </w:numPr>
        <w:spacing w:after="0" w:line="360" w:lineRule="auto"/>
        <w:ind w:left="0" w:firstLine="0"/>
        <w:jc w:val="both"/>
        <w:rPr>
          <w:rFonts w:ascii="Arial" w:hAnsi="Arial" w:cs="Arial"/>
          <w:sz w:val="24"/>
          <w:szCs w:val="24"/>
        </w:rPr>
      </w:pPr>
      <w:r w:rsidRPr="00BF0098">
        <w:rPr>
          <w:rFonts w:ascii="Arial" w:hAnsi="Arial" w:cs="Arial"/>
          <w:sz w:val="24"/>
          <w:szCs w:val="24"/>
        </w:rPr>
        <w:t>Medir las concentraciones séricas de calcio, magnesio y potasio.</w:t>
      </w:r>
    </w:p>
    <w:p w:rsidR="003F55C3" w:rsidRPr="00BF0098" w:rsidRDefault="003F55C3" w:rsidP="00BF0098">
      <w:pPr>
        <w:numPr>
          <w:ilvl w:val="0"/>
          <w:numId w:val="29"/>
        </w:numPr>
        <w:spacing w:after="0" w:line="360" w:lineRule="auto"/>
        <w:ind w:left="0" w:firstLine="0"/>
        <w:jc w:val="both"/>
        <w:rPr>
          <w:rFonts w:ascii="Arial" w:hAnsi="Arial" w:cs="Arial"/>
          <w:sz w:val="24"/>
          <w:szCs w:val="24"/>
        </w:rPr>
      </w:pPr>
      <w:r w:rsidRPr="00BF0098">
        <w:rPr>
          <w:rFonts w:ascii="Arial" w:hAnsi="Arial" w:cs="Arial"/>
          <w:sz w:val="24"/>
          <w:szCs w:val="24"/>
        </w:rPr>
        <w:t>Medir la fracción de fosfato urinario:</w:t>
      </w:r>
    </w:p>
    <w:p w:rsidR="003F55C3" w:rsidRPr="00BF0098" w:rsidRDefault="003F55C3" w:rsidP="00BF0098">
      <w:pPr>
        <w:numPr>
          <w:ilvl w:val="0"/>
          <w:numId w:val="30"/>
        </w:numPr>
        <w:spacing w:after="0" w:line="360" w:lineRule="auto"/>
        <w:ind w:left="0" w:firstLine="0"/>
        <w:jc w:val="both"/>
        <w:rPr>
          <w:rFonts w:ascii="Arial" w:hAnsi="Arial" w:cs="Arial"/>
          <w:sz w:val="24"/>
          <w:szCs w:val="24"/>
        </w:rPr>
      </w:pPr>
      <w:r w:rsidRPr="00BF0098">
        <w:rPr>
          <w:rFonts w:ascii="Arial" w:hAnsi="Arial" w:cs="Arial"/>
          <w:sz w:val="24"/>
          <w:szCs w:val="24"/>
        </w:rPr>
        <w:t>Fosfato urinario = (PO4  excretado mg/dl)/PO4 filtrado.</w:t>
      </w:r>
    </w:p>
    <w:p w:rsidR="003F55C3" w:rsidRPr="00BF0098" w:rsidRDefault="003F55C3" w:rsidP="00BF0098">
      <w:pPr>
        <w:numPr>
          <w:ilvl w:val="0"/>
          <w:numId w:val="30"/>
        </w:numPr>
        <w:spacing w:after="0" w:line="360" w:lineRule="auto"/>
        <w:ind w:left="0" w:firstLine="0"/>
        <w:jc w:val="both"/>
        <w:rPr>
          <w:rFonts w:ascii="Arial" w:hAnsi="Arial" w:cs="Arial"/>
          <w:sz w:val="24"/>
          <w:szCs w:val="24"/>
        </w:rPr>
      </w:pPr>
      <w:r w:rsidRPr="00BF0098">
        <w:rPr>
          <w:rFonts w:ascii="Arial" w:hAnsi="Arial" w:cs="Arial"/>
          <w:sz w:val="24"/>
          <w:szCs w:val="24"/>
        </w:rPr>
        <w:t>PO4 filtrado = velocidad glomerular x 0,95</w:t>
      </w:r>
    </w:p>
    <w:p w:rsidR="003F55C3" w:rsidRPr="00BF0098" w:rsidRDefault="003F55C3" w:rsidP="00BF0098">
      <w:pPr>
        <w:spacing w:line="360" w:lineRule="auto"/>
        <w:jc w:val="both"/>
        <w:rPr>
          <w:rFonts w:ascii="Arial" w:hAnsi="Arial" w:cs="Arial"/>
          <w:sz w:val="24"/>
          <w:szCs w:val="24"/>
        </w:rPr>
      </w:pPr>
    </w:p>
    <w:p w:rsidR="003F55C3" w:rsidRPr="00BF0098" w:rsidRDefault="003F55C3" w:rsidP="00BF0098">
      <w:pPr>
        <w:spacing w:line="360" w:lineRule="auto"/>
        <w:jc w:val="both"/>
        <w:rPr>
          <w:rFonts w:ascii="Arial" w:hAnsi="Arial" w:cs="Arial"/>
          <w:b/>
          <w:sz w:val="24"/>
          <w:szCs w:val="24"/>
        </w:rPr>
      </w:pPr>
      <w:r w:rsidRPr="00BF0098">
        <w:rPr>
          <w:rFonts w:ascii="Arial" w:hAnsi="Arial" w:cs="Arial"/>
          <w:b/>
          <w:sz w:val="24"/>
          <w:szCs w:val="24"/>
        </w:rPr>
        <w:t>Tratamiento</w:t>
      </w:r>
    </w:p>
    <w:p w:rsidR="003F55C3" w:rsidRPr="00BF0098" w:rsidRDefault="003F55C3" w:rsidP="00BF0098">
      <w:pPr>
        <w:spacing w:line="360" w:lineRule="auto"/>
        <w:jc w:val="both"/>
        <w:rPr>
          <w:rFonts w:ascii="Arial" w:hAnsi="Arial" w:cs="Arial"/>
          <w:sz w:val="24"/>
          <w:szCs w:val="24"/>
        </w:rPr>
      </w:pPr>
      <w:r w:rsidRPr="00BF0098">
        <w:rPr>
          <w:rFonts w:ascii="Arial" w:hAnsi="Arial" w:cs="Arial"/>
          <w:b/>
          <w:sz w:val="24"/>
          <w:szCs w:val="24"/>
        </w:rPr>
        <w:t xml:space="preserve">FÓSFORO: </w:t>
      </w:r>
      <w:r w:rsidRPr="00BF0098">
        <w:rPr>
          <w:rFonts w:ascii="Arial" w:hAnsi="Arial" w:cs="Arial"/>
          <w:sz w:val="24"/>
          <w:szCs w:val="24"/>
        </w:rPr>
        <w:t>1 mmol = 31 mg de fósforo</w:t>
      </w:r>
    </w:p>
    <w:p w:rsidR="003F55C3" w:rsidRPr="00BF0098" w:rsidRDefault="003F55C3" w:rsidP="00BF0098">
      <w:pPr>
        <w:spacing w:line="360" w:lineRule="auto"/>
        <w:jc w:val="both"/>
        <w:rPr>
          <w:rFonts w:ascii="Arial" w:hAnsi="Arial" w:cs="Arial"/>
          <w:sz w:val="24"/>
          <w:szCs w:val="24"/>
        </w:rPr>
      </w:pPr>
      <w:r w:rsidRPr="00BF0098">
        <w:rPr>
          <w:rFonts w:ascii="Arial" w:hAnsi="Arial" w:cs="Arial"/>
          <w:b/>
          <w:sz w:val="24"/>
          <w:szCs w:val="24"/>
        </w:rPr>
        <w:t>Fosfato monosódico 1M:</w:t>
      </w:r>
      <w:r w:rsidRPr="00BF0098">
        <w:rPr>
          <w:rFonts w:ascii="Arial" w:hAnsi="Arial" w:cs="Arial"/>
          <w:sz w:val="24"/>
          <w:szCs w:val="24"/>
        </w:rPr>
        <w:t xml:space="preserve"> 1ml = 1mmol =31mg de fósforo</w:t>
      </w:r>
    </w:p>
    <w:p w:rsidR="003F55C3" w:rsidRPr="00BF0098" w:rsidRDefault="003F55C3" w:rsidP="00BF0098">
      <w:pPr>
        <w:spacing w:line="360" w:lineRule="auto"/>
        <w:jc w:val="both"/>
        <w:rPr>
          <w:rFonts w:ascii="Arial" w:hAnsi="Arial" w:cs="Arial"/>
          <w:sz w:val="24"/>
          <w:szCs w:val="24"/>
        </w:rPr>
      </w:pPr>
      <w:r w:rsidRPr="00BF0098">
        <w:rPr>
          <w:rFonts w:ascii="Arial" w:hAnsi="Arial" w:cs="Arial"/>
          <w:b/>
          <w:sz w:val="24"/>
          <w:szCs w:val="24"/>
        </w:rPr>
        <w:t xml:space="preserve">Fosfato dipotásico 1M: </w:t>
      </w:r>
      <w:r w:rsidRPr="00BF0098">
        <w:rPr>
          <w:rFonts w:ascii="Arial" w:hAnsi="Arial" w:cs="Arial"/>
          <w:sz w:val="24"/>
          <w:szCs w:val="24"/>
        </w:rPr>
        <w:t>1ml = 1mmol =31mg de fósforo</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 xml:space="preserve">                                         1ml = 2mEq de potasio</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lastRenderedPageBreak/>
        <w:t>Los niveles de fósforo pueden cambiar rápidamente y peligrosamente durante el tratamiento. La infusión intravenosa deberá ser lenta y se acompañará de una estrecha monitorización de los niveles séricos.</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Hipofosfatemia ligera: es asintomática y no se trata.</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 xml:space="preserve">Hipofosfatemia moderada: en pacientes con riesgo asociado como la desnutrición, se administra el tratamiento por vía oral. Debe mezclarse el aporte de fósforo con los alimentos en dosis de </w:t>
      </w:r>
      <w:smartTag w:uri="urn:schemas-microsoft-com:office:smarttags" w:element="metricconverter">
        <w:smartTagPr>
          <w:attr w:name="ProductID" w:val="2 a"/>
        </w:smartTagPr>
        <w:r w:rsidRPr="00BF0098">
          <w:rPr>
            <w:rFonts w:ascii="Arial" w:hAnsi="Arial" w:cs="Arial"/>
            <w:sz w:val="24"/>
            <w:szCs w:val="24"/>
          </w:rPr>
          <w:t>2 a</w:t>
        </w:r>
      </w:smartTag>
      <w:r w:rsidRPr="00BF0098">
        <w:rPr>
          <w:rFonts w:ascii="Arial" w:hAnsi="Arial" w:cs="Arial"/>
          <w:sz w:val="24"/>
          <w:szCs w:val="24"/>
        </w:rPr>
        <w:t xml:space="preserve"> </w:t>
      </w:r>
      <w:smartTag w:uri="urn:schemas-microsoft-com:office:smarttags" w:element="metricconverter">
        <w:smartTagPr>
          <w:attr w:name="ProductID" w:val="3 g"/>
        </w:smartTagPr>
        <w:r w:rsidRPr="00BF0098">
          <w:rPr>
            <w:rFonts w:ascii="Arial" w:hAnsi="Arial" w:cs="Arial"/>
            <w:sz w:val="24"/>
            <w:szCs w:val="24"/>
          </w:rPr>
          <w:t>3 g</w:t>
        </w:r>
      </w:smartTag>
      <w:r w:rsidRPr="00BF0098">
        <w:rPr>
          <w:rFonts w:ascii="Arial" w:hAnsi="Arial" w:cs="Arial"/>
          <w:sz w:val="24"/>
          <w:szCs w:val="24"/>
        </w:rPr>
        <w:t xml:space="preserve"> de folato diario.</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Hipofosfatemia severa: el reemplazo endovenoso de de fósforo debe ser reservado solo para estas situaciones. La infusión intravenosa debe ser administrada lentamente y acompañada de una estrecha movilización de los niveles séricos.</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Solución que se debe emplear: en infusión con solución salina al 0,9% durante 6 horas, cada ml de Fosfato monosódico, Fosfato dipotásico contienen 93 mg/ml. La infusión se mantiene hasta que la fosforemia alcance 1,28 mEq/L.</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Riesgos del tratamiento:</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sz w:val="24"/>
          <w:szCs w:val="24"/>
        </w:rPr>
        <w:t>Hipofosfatemia.</w:t>
      </w:r>
      <w:proofErr w:type="gramStart"/>
      <w:r w:rsidR="00BF0098" w:rsidRPr="00BF0098">
        <w:rPr>
          <w:rFonts w:ascii="Arial" w:hAnsi="Arial" w:cs="Arial"/>
          <w:sz w:val="24"/>
          <w:szCs w:val="24"/>
        </w:rPr>
        <w:t>,</w:t>
      </w:r>
      <w:r w:rsidRPr="00BF0098">
        <w:rPr>
          <w:rFonts w:ascii="Arial" w:hAnsi="Arial" w:cs="Arial"/>
          <w:sz w:val="24"/>
          <w:szCs w:val="24"/>
        </w:rPr>
        <w:t>Hipocalcemia</w:t>
      </w:r>
      <w:proofErr w:type="gramEnd"/>
      <w:r w:rsidRPr="00BF0098">
        <w:rPr>
          <w:rFonts w:ascii="Arial" w:hAnsi="Arial" w:cs="Arial"/>
          <w:sz w:val="24"/>
          <w:szCs w:val="24"/>
        </w:rPr>
        <w:t>.</w:t>
      </w:r>
      <w:r w:rsidR="00BF0098" w:rsidRPr="00BF0098">
        <w:rPr>
          <w:rFonts w:ascii="Arial" w:hAnsi="Arial" w:cs="Arial"/>
          <w:sz w:val="24"/>
          <w:szCs w:val="24"/>
        </w:rPr>
        <w:t>,</w:t>
      </w:r>
      <w:r w:rsidRPr="00BF0098">
        <w:rPr>
          <w:rFonts w:ascii="Arial" w:hAnsi="Arial" w:cs="Arial"/>
          <w:sz w:val="24"/>
          <w:szCs w:val="24"/>
        </w:rPr>
        <w:t>Hipercaliemia.</w:t>
      </w:r>
      <w:r w:rsidR="00BF0098" w:rsidRPr="00BF0098">
        <w:rPr>
          <w:rFonts w:ascii="Arial" w:hAnsi="Arial" w:cs="Arial"/>
          <w:sz w:val="24"/>
          <w:szCs w:val="24"/>
        </w:rPr>
        <w:t>,</w:t>
      </w:r>
      <w:r w:rsidRPr="00BF0098">
        <w:rPr>
          <w:rFonts w:ascii="Arial" w:hAnsi="Arial" w:cs="Arial"/>
          <w:sz w:val="24"/>
          <w:szCs w:val="24"/>
        </w:rPr>
        <w:t>Hipomagnesemia.</w:t>
      </w:r>
      <w:r w:rsidR="00BF0098" w:rsidRPr="00BF0098">
        <w:rPr>
          <w:rFonts w:ascii="Arial" w:hAnsi="Arial" w:cs="Arial"/>
          <w:sz w:val="24"/>
          <w:szCs w:val="24"/>
        </w:rPr>
        <w:t>,</w:t>
      </w:r>
      <w:r w:rsidRPr="00BF0098">
        <w:rPr>
          <w:rFonts w:ascii="Arial" w:hAnsi="Arial" w:cs="Arial"/>
          <w:sz w:val="24"/>
          <w:szCs w:val="24"/>
        </w:rPr>
        <w:t>Hipotensión arterial</w:t>
      </w:r>
      <w:r w:rsidR="00BF0098" w:rsidRPr="00BF0098">
        <w:rPr>
          <w:rFonts w:ascii="Arial" w:hAnsi="Arial" w:cs="Arial"/>
          <w:sz w:val="24"/>
          <w:szCs w:val="24"/>
        </w:rPr>
        <w:t>,p</w:t>
      </w:r>
      <w:r w:rsidRPr="00BF0098">
        <w:rPr>
          <w:rFonts w:ascii="Arial" w:hAnsi="Arial" w:cs="Arial"/>
          <w:sz w:val="24"/>
          <w:szCs w:val="24"/>
        </w:rPr>
        <w:t>recipitación de las sales de calcio e IRA.</w:t>
      </w:r>
    </w:p>
    <w:p w:rsidR="00BF0098" w:rsidRPr="00BF0098" w:rsidRDefault="003F55C3" w:rsidP="00BF0098">
      <w:pPr>
        <w:spacing w:line="360" w:lineRule="auto"/>
        <w:jc w:val="both"/>
        <w:rPr>
          <w:rFonts w:ascii="Arial" w:hAnsi="Arial" w:cs="Arial"/>
          <w:b/>
          <w:sz w:val="24"/>
          <w:szCs w:val="24"/>
        </w:rPr>
      </w:pPr>
      <w:r w:rsidRPr="00BF0098">
        <w:rPr>
          <w:rFonts w:ascii="Arial" w:hAnsi="Arial" w:cs="Arial"/>
          <w:b/>
          <w:sz w:val="24"/>
          <w:szCs w:val="24"/>
        </w:rPr>
        <w:t>HIPERFOSFOREMIA</w:t>
      </w:r>
    </w:p>
    <w:p w:rsidR="003F55C3" w:rsidRPr="00BF0098" w:rsidRDefault="003F55C3" w:rsidP="00BF0098">
      <w:pPr>
        <w:spacing w:line="360" w:lineRule="auto"/>
        <w:jc w:val="both"/>
        <w:rPr>
          <w:rFonts w:ascii="Arial" w:hAnsi="Arial" w:cs="Arial"/>
          <w:b/>
          <w:sz w:val="24"/>
          <w:szCs w:val="24"/>
        </w:rPr>
      </w:pPr>
      <w:r w:rsidRPr="00BF0098">
        <w:rPr>
          <w:rFonts w:ascii="Arial" w:hAnsi="Arial" w:cs="Arial"/>
          <w:b/>
          <w:sz w:val="24"/>
          <w:szCs w:val="24"/>
        </w:rPr>
        <w:t>Definición:</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Niveles séricos de fósforo superiores a 7,1 mg/dl en niños y a 4 mg/dl en adultos se definen como hiperfosforemia</w:t>
      </w:r>
    </w:p>
    <w:p w:rsidR="003F55C3" w:rsidRPr="00BF0098" w:rsidRDefault="003F55C3" w:rsidP="00BF0098">
      <w:pPr>
        <w:spacing w:line="360" w:lineRule="auto"/>
        <w:jc w:val="both"/>
        <w:rPr>
          <w:rFonts w:ascii="Arial" w:hAnsi="Arial" w:cs="Arial"/>
          <w:b/>
          <w:sz w:val="24"/>
          <w:szCs w:val="24"/>
        </w:rPr>
      </w:pPr>
      <w:r w:rsidRPr="00BF0098">
        <w:rPr>
          <w:rFonts w:ascii="Arial" w:hAnsi="Arial" w:cs="Arial"/>
          <w:b/>
          <w:sz w:val="24"/>
          <w:szCs w:val="24"/>
        </w:rPr>
        <w:t>Etiología:</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Es el resultado de la disminución de la excreción renal (filtrado glomerular &lt;25ml/min/1,73m2, hipoparatiroidismo), de la administración de la ingesta de fosfatos o vitamina D, o de la liberación de fosfatos dentro del espacio extracelular (síndrome de lisis tumoral, rabdomiolisis, Sepsis, hipertermia maligna, hemólisis, hepatitis fulminante, acidosis, hipotermia).</w:t>
      </w:r>
    </w:p>
    <w:p w:rsidR="003F55C3" w:rsidRPr="00BF0098" w:rsidRDefault="003F55C3" w:rsidP="00BF0098">
      <w:pPr>
        <w:spacing w:line="360" w:lineRule="auto"/>
        <w:jc w:val="both"/>
        <w:rPr>
          <w:rFonts w:ascii="Arial" w:hAnsi="Arial" w:cs="Arial"/>
          <w:b/>
          <w:sz w:val="24"/>
          <w:szCs w:val="24"/>
        </w:rPr>
      </w:pPr>
      <w:r w:rsidRPr="00BF0098">
        <w:rPr>
          <w:rFonts w:ascii="Arial" w:hAnsi="Arial" w:cs="Arial"/>
          <w:b/>
          <w:sz w:val="24"/>
          <w:szCs w:val="24"/>
        </w:rPr>
        <w:t>Clínica:</w:t>
      </w:r>
    </w:p>
    <w:p w:rsidR="003F55C3" w:rsidRPr="00BF0098" w:rsidRDefault="003F55C3" w:rsidP="00BF0098">
      <w:pPr>
        <w:spacing w:line="360" w:lineRule="auto"/>
        <w:jc w:val="both"/>
        <w:rPr>
          <w:rFonts w:ascii="Arial" w:hAnsi="Arial" w:cs="Arial"/>
          <w:sz w:val="24"/>
          <w:szCs w:val="24"/>
        </w:rPr>
      </w:pPr>
    </w:p>
    <w:p w:rsidR="003F55C3" w:rsidRPr="00BF0098" w:rsidRDefault="003F55C3" w:rsidP="00BF0098">
      <w:pPr>
        <w:numPr>
          <w:ilvl w:val="0"/>
          <w:numId w:val="31"/>
        </w:numPr>
        <w:spacing w:after="0" w:line="360" w:lineRule="auto"/>
        <w:ind w:left="0" w:firstLine="0"/>
        <w:jc w:val="both"/>
        <w:rPr>
          <w:rFonts w:ascii="Arial" w:hAnsi="Arial" w:cs="Arial"/>
          <w:sz w:val="24"/>
          <w:szCs w:val="24"/>
        </w:rPr>
      </w:pPr>
      <w:r w:rsidRPr="00BF0098">
        <w:rPr>
          <w:rFonts w:ascii="Arial" w:hAnsi="Arial" w:cs="Arial"/>
          <w:sz w:val="24"/>
          <w:szCs w:val="24"/>
        </w:rPr>
        <w:t>Hiperfosforemia aguda: Hipocalcemia (dolor abdominal, náuseas, vómitos, trastorno de la conciencia, coma, convulsiones, calambres musculares, debilidad, ceguera). Tetania.</w:t>
      </w:r>
    </w:p>
    <w:p w:rsidR="003F55C3" w:rsidRPr="00BF0098" w:rsidRDefault="003F55C3" w:rsidP="00BF0098">
      <w:pPr>
        <w:numPr>
          <w:ilvl w:val="0"/>
          <w:numId w:val="31"/>
        </w:numPr>
        <w:spacing w:after="0" w:line="360" w:lineRule="auto"/>
        <w:ind w:left="0" w:firstLine="0"/>
        <w:jc w:val="both"/>
        <w:rPr>
          <w:rFonts w:ascii="Arial" w:hAnsi="Arial" w:cs="Arial"/>
          <w:sz w:val="24"/>
          <w:szCs w:val="24"/>
        </w:rPr>
      </w:pPr>
      <w:r w:rsidRPr="00BF0098">
        <w:rPr>
          <w:rFonts w:ascii="Arial" w:hAnsi="Arial" w:cs="Arial"/>
          <w:sz w:val="24"/>
          <w:szCs w:val="24"/>
        </w:rPr>
        <w:t>Hiperfosforemia crónica</w:t>
      </w:r>
      <w:proofErr w:type="gramStart"/>
      <w:r w:rsidRPr="00BF0098">
        <w:rPr>
          <w:rFonts w:ascii="Arial" w:hAnsi="Arial" w:cs="Arial"/>
          <w:sz w:val="24"/>
          <w:szCs w:val="24"/>
        </w:rPr>
        <w:t>:Calcificaciones</w:t>
      </w:r>
      <w:proofErr w:type="gramEnd"/>
      <w:r w:rsidRPr="00BF0098">
        <w:rPr>
          <w:rFonts w:ascii="Arial" w:hAnsi="Arial" w:cs="Arial"/>
          <w:sz w:val="24"/>
          <w:szCs w:val="24"/>
        </w:rPr>
        <w:t xml:space="preserve"> metastásicas ,Hiperparatiroidismo que acompaña a la osteodistrofia renal (esto puede conducir a la insuficiencia renal aguda con el empeoramiento de la excreción renal de fosfatos).</w:t>
      </w:r>
    </w:p>
    <w:p w:rsidR="003F55C3" w:rsidRPr="00BF0098" w:rsidRDefault="003F55C3" w:rsidP="00BF0098">
      <w:pPr>
        <w:spacing w:after="0" w:line="360" w:lineRule="auto"/>
        <w:jc w:val="both"/>
        <w:rPr>
          <w:rFonts w:ascii="Arial" w:hAnsi="Arial" w:cs="Arial"/>
          <w:sz w:val="24"/>
          <w:szCs w:val="24"/>
        </w:rPr>
      </w:pPr>
      <w:r w:rsidRPr="00BF0098">
        <w:rPr>
          <w:rFonts w:ascii="Arial" w:hAnsi="Arial" w:cs="Arial"/>
          <w:b/>
          <w:sz w:val="24"/>
          <w:szCs w:val="24"/>
        </w:rPr>
        <w:t>Tratamiento:</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Los principios generales son:</w:t>
      </w:r>
    </w:p>
    <w:p w:rsidR="003F55C3" w:rsidRPr="00BF0098" w:rsidRDefault="003F55C3" w:rsidP="00BF0098">
      <w:pPr>
        <w:numPr>
          <w:ilvl w:val="0"/>
          <w:numId w:val="31"/>
        </w:numPr>
        <w:spacing w:after="0" w:line="360" w:lineRule="auto"/>
        <w:ind w:left="0" w:firstLine="0"/>
        <w:jc w:val="both"/>
        <w:rPr>
          <w:rFonts w:ascii="Arial" w:hAnsi="Arial" w:cs="Arial"/>
          <w:sz w:val="24"/>
          <w:szCs w:val="24"/>
        </w:rPr>
      </w:pPr>
      <w:r w:rsidRPr="00BF0098">
        <w:rPr>
          <w:rFonts w:ascii="Arial" w:hAnsi="Arial" w:cs="Arial"/>
          <w:sz w:val="24"/>
          <w:szCs w:val="24"/>
        </w:rPr>
        <w:t>Tratar la causa si es posible.</w:t>
      </w:r>
    </w:p>
    <w:p w:rsidR="003F55C3" w:rsidRPr="00BF0098" w:rsidRDefault="003F55C3" w:rsidP="00BF0098">
      <w:pPr>
        <w:numPr>
          <w:ilvl w:val="0"/>
          <w:numId w:val="31"/>
        </w:numPr>
        <w:spacing w:after="0" w:line="360" w:lineRule="auto"/>
        <w:ind w:left="0" w:firstLine="0"/>
        <w:jc w:val="both"/>
        <w:rPr>
          <w:rFonts w:ascii="Arial" w:hAnsi="Arial" w:cs="Arial"/>
          <w:sz w:val="24"/>
          <w:szCs w:val="24"/>
        </w:rPr>
      </w:pPr>
      <w:r w:rsidRPr="00BF0098">
        <w:rPr>
          <w:rFonts w:ascii="Arial" w:hAnsi="Arial" w:cs="Arial"/>
          <w:sz w:val="24"/>
          <w:szCs w:val="24"/>
        </w:rPr>
        <w:t>Tratar los trastornos hidroelectrolíticos asociados.</w:t>
      </w:r>
    </w:p>
    <w:p w:rsidR="003F55C3" w:rsidRPr="00BF0098" w:rsidRDefault="003F55C3" w:rsidP="00BF0098">
      <w:pPr>
        <w:numPr>
          <w:ilvl w:val="0"/>
          <w:numId w:val="31"/>
        </w:numPr>
        <w:spacing w:after="0" w:line="360" w:lineRule="auto"/>
        <w:ind w:left="0" w:firstLine="0"/>
        <w:jc w:val="both"/>
        <w:rPr>
          <w:rFonts w:ascii="Arial" w:hAnsi="Arial" w:cs="Arial"/>
          <w:sz w:val="24"/>
          <w:szCs w:val="24"/>
        </w:rPr>
      </w:pPr>
      <w:r w:rsidRPr="00BF0098">
        <w:rPr>
          <w:rFonts w:ascii="Arial" w:hAnsi="Arial" w:cs="Arial"/>
          <w:sz w:val="24"/>
          <w:szCs w:val="24"/>
        </w:rPr>
        <w:t>Reducir la absorción intestinal de potasio mediante la dieta.</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En pacientes con hiperfoforemia por aumento de la liberación de fosfato dentro de la célula:</w:t>
      </w:r>
    </w:p>
    <w:p w:rsidR="003F55C3" w:rsidRPr="00BF0098" w:rsidRDefault="003F55C3" w:rsidP="00BF0098">
      <w:pPr>
        <w:numPr>
          <w:ilvl w:val="0"/>
          <w:numId w:val="30"/>
        </w:numPr>
        <w:spacing w:after="0" w:line="360" w:lineRule="auto"/>
        <w:ind w:left="0" w:firstLine="0"/>
        <w:jc w:val="both"/>
        <w:rPr>
          <w:rFonts w:ascii="Arial" w:hAnsi="Arial" w:cs="Arial"/>
          <w:sz w:val="24"/>
          <w:szCs w:val="24"/>
        </w:rPr>
      </w:pPr>
      <w:r w:rsidRPr="00BF0098">
        <w:rPr>
          <w:rFonts w:ascii="Arial" w:hAnsi="Arial" w:cs="Arial"/>
          <w:sz w:val="24"/>
          <w:szCs w:val="24"/>
        </w:rPr>
        <w:t>Solución salina fisiológica: 4 – 8 ml/kg/h.</w:t>
      </w:r>
    </w:p>
    <w:p w:rsidR="003F55C3" w:rsidRPr="00BF0098" w:rsidRDefault="003F55C3" w:rsidP="00BF0098">
      <w:pPr>
        <w:numPr>
          <w:ilvl w:val="0"/>
          <w:numId w:val="30"/>
        </w:numPr>
        <w:spacing w:after="0" w:line="360" w:lineRule="auto"/>
        <w:ind w:left="0" w:firstLine="0"/>
        <w:jc w:val="both"/>
        <w:rPr>
          <w:rFonts w:ascii="Arial" w:hAnsi="Arial" w:cs="Arial"/>
          <w:sz w:val="24"/>
          <w:szCs w:val="24"/>
        </w:rPr>
      </w:pPr>
      <w:r w:rsidRPr="00BF0098">
        <w:rPr>
          <w:rFonts w:ascii="Arial" w:hAnsi="Arial" w:cs="Arial"/>
          <w:sz w:val="24"/>
          <w:szCs w:val="24"/>
        </w:rPr>
        <w:t>Manitol 20%: 0,5 – 1 g/kg/dosis.</w:t>
      </w:r>
    </w:p>
    <w:p w:rsidR="003F55C3" w:rsidRPr="00BF0098" w:rsidRDefault="003F55C3" w:rsidP="00BF0098">
      <w:pPr>
        <w:spacing w:line="360" w:lineRule="auto"/>
        <w:jc w:val="both"/>
        <w:rPr>
          <w:rFonts w:ascii="Arial" w:hAnsi="Arial" w:cs="Arial"/>
          <w:sz w:val="24"/>
          <w:szCs w:val="24"/>
        </w:rPr>
      </w:pPr>
      <w:r w:rsidRPr="00BF0098">
        <w:rPr>
          <w:rFonts w:ascii="Arial" w:hAnsi="Arial" w:cs="Arial"/>
          <w:sz w:val="24"/>
          <w:szCs w:val="24"/>
        </w:rPr>
        <w:t>En los casos de ingestión de sales de hidroxilo de aluminio (1ml/kg/6h por vía oral, magnesio en casos de IRA no se puede usar) o calcio, ya que son capaces de quelar el fósforo de la luz intestinal y reducir su absorción:</w:t>
      </w:r>
    </w:p>
    <w:p w:rsidR="003F55C3" w:rsidRPr="00BF0098" w:rsidRDefault="003F55C3" w:rsidP="00BF0098">
      <w:pPr>
        <w:numPr>
          <w:ilvl w:val="0"/>
          <w:numId w:val="32"/>
        </w:numPr>
        <w:spacing w:after="0" w:line="360" w:lineRule="auto"/>
        <w:ind w:left="0" w:firstLine="0"/>
        <w:jc w:val="both"/>
        <w:rPr>
          <w:rFonts w:ascii="Arial" w:hAnsi="Arial" w:cs="Arial"/>
          <w:sz w:val="24"/>
          <w:szCs w:val="24"/>
        </w:rPr>
      </w:pPr>
      <w:r w:rsidRPr="00BF0098">
        <w:rPr>
          <w:rFonts w:ascii="Arial" w:hAnsi="Arial" w:cs="Arial"/>
          <w:sz w:val="24"/>
          <w:szCs w:val="24"/>
        </w:rPr>
        <w:t>Usar solución salina isotónica, acetazolamida y bicarbonato, si la función renal está afectada para incrementar la excreción renal de fosfato.</w:t>
      </w:r>
    </w:p>
    <w:p w:rsidR="003F55C3" w:rsidRPr="00BF0098" w:rsidRDefault="003F55C3" w:rsidP="00BF0098">
      <w:pPr>
        <w:numPr>
          <w:ilvl w:val="0"/>
          <w:numId w:val="32"/>
        </w:numPr>
        <w:spacing w:after="0" w:line="360" w:lineRule="auto"/>
        <w:ind w:left="0" w:firstLine="0"/>
        <w:jc w:val="both"/>
        <w:rPr>
          <w:rFonts w:ascii="Arial" w:hAnsi="Arial" w:cs="Arial"/>
          <w:sz w:val="24"/>
          <w:szCs w:val="24"/>
        </w:rPr>
      </w:pPr>
      <w:r w:rsidRPr="00BF0098">
        <w:rPr>
          <w:rFonts w:ascii="Arial" w:hAnsi="Arial" w:cs="Arial"/>
          <w:sz w:val="24"/>
          <w:szCs w:val="24"/>
        </w:rPr>
        <w:t>Tratar la hipocalcemia asociada, si aumenta rápidamente o es superior a 10 mg/dl con insuficiencia renal añadida, la hemodiálisis o la diálisis peritoneal es el tratamiento de elección.</w:t>
      </w:r>
    </w:p>
    <w:p w:rsidR="003F55C3" w:rsidRPr="00BF0098" w:rsidRDefault="003F55C3" w:rsidP="00BF0098">
      <w:pPr>
        <w:spacing w:line="360" w:lineRule="auto"/>
        <w:jc w:val="both"/>
        <w:rPr>
          <w:rFonts w:ascii="Arial" w:hAnsi="Arial" w:cs="Arial"/>
          <w:sz w:val="24"/>
          <w:szCs w:val="24"/>
        </w:rPr>
      </w:pPr>
    </w:p>
    <w:p w:rsidR="003F55C3" w:rsidRPr="00BF0098" w:rsidRDefault="003F55C3" w:rsidP="00BF0098">
      <w:pPr>
        <w:pStyle w:val="NormalWeb"/>
        <w:spacing w:before="0" w:after="0" w:afterAutospacing="0" w:line="360" w:lineRule="auto"/>
        <w:ind w:right="979"/>
        <w:jc w:val="both"/>
        <w:rPr>
          <w:rFonts w:ascii="Arial" w:hAnsi="Arial" w:cs="Arial"/>
          <w:sz w:val="24"/>
          <w:szCs w:val="24"/>
          <w:lang w:val="es-ES_tradnl"/>
        </w:rPr>
      </w:pPr>
    </w:p>
    <w:p w:rsidR="003F55C3" w:rsidRPr="00BF0098" w:rsidRDefault="003F55C3" w:rsidP="00BF0098">
      <w:pPr>
        <w:spacing w:line="360" w:lineRule="auto"/>
        <w:rPr>
          <w:rFonts w:ascii="Arial" w:hAnsi="Arial" w:cs="Arial"/>
          <w:sz w:val="24"/>
          <w:szCs w:val="24"/>
        </w:rPr>
      </w:pPr>
    </w:p>
    <w:p w:rsidR="003F55C3" w:rsidRPr="00BF0098" w:rsidRDefault="003F55C3" w:rsidP="00BF0098">
      <w:pPr>
        <w:spacing w:line="360" w:lineRule="auto"/>
        <w:rPr>
          <w:rFonts w:ascii="Arial" w:hAnsi="Arial" w:cs="Arial"/>
          <w:sz w:val="24"/>
          <w:szCs w:val="24"/>
        </w:rPr>
      </w:pPr>
    </w:p>
    <w:p w:rsidR="003F55C3" w:rsidRPr="00BF0098" w:rsidRDefault="003F55C3" w:rsidP="00BF0098">
      <w:pPr>
        <w:spacing w:line="360" w:lineRule="auto"/>
        <w:rPr>
          <w:rFonts w:ascii="Arial" w:hAnsi="Arial" w:cs="Arial"/>
          <w:sz w:val="24"/>
          <w:szCs w:val="24"/>
        </w:rPr>
      </w:pPr>
    </w:p>
    <w:p w:rsidR="003F55C3" w:rsidRPr="00BF0098" w:rsidRDefault="003F55C3" w:rsidP="00BF0098">
      <w:pPr>
        <w:spacing w:line="360" w:lineRule="auto"/>
        <w:rPr>
          <w:rFonts w:ascii="Arial" w:hAnsi="Arial" w:cs="Arial"/>
          <w:sz w:val="24"/>
          <w:szCs w:val="24"/>
        </w:rPr>
      </w:pPr>
    </w:p>
    <w:p w:rsidR="003F55C3" w:rsidRPr="00BF0098" w:rsidRDefault="003F55C3" w:rsidP="00BF0098">
      <w:pPr>
        <w:spacing w:line="360" w:lineRule="auto"/>
        <w:rPr>
          <w:rFonts w:ascii="Arial" w:hAnsi="Arial" w:cs="Arial"/>
          <w:sz w:val="24"/>
          <w:szCs w:val="24"/>
        </w:rPr>
      </w:pPr>
    </w:p>
    <w:p w:rsidR="003F55C3" w:rsidRPr="00BF0098" w:rsidRDefault="003F55C3" w:rsidP="00BF0098">
      <w:pPr>
        <w:spacing w:line="360" w:lineRule="auto"/>
        <w:rPr>
          <w:rFonts w:ascii="Arial" w:hAnsi="Arial" w:cs="Arial"/>
          <w:sz w:val="24"/>
          <w:szCs w:val="24"/>
        </w:rPr>
      </w:pPr>
    </w:p>
    <w:p w:rsidR="003F55C3" w:rsidRPr="00BF0098" w:rsidRDefault="003F55C3" w:rsidP="00BF0098">
      <w:pPr>
        <w:spacing w:line="360" w:lineRule="auto"/>
        <w:rPr>
          <w:rFonts w:ascii="Arial" w:hAnsi="Arial" w:cs="Arial"/>
          <w:sz w:val="24"/>
          <w:szCs w:val="24"/>
        </w:rPr>
      </w:pPr>
    </w:p>
    <w:p w:rsidR="003F55C3" w:rsidRPr="00BF0098" w:rsidRDefault="003F55C3" w:rsidP="00BF0098">
      <w:pPr>
        <w:spacing w:line="360" w:lineRule="auto"/>
        <w:rPr>
          <w:rFonts w:ascii="Arial" w:hAnsi="Arial" w:cs="Arial"/>
          <w:sz w:val="24"/>
          <w:szCs w:val="24"/>
        </w:rPr>
      </w:pPr>
    </w:p>
    <w:p w:rsidR="003F55C3" w:rsidRPr="00BF0098" w:rsidRDefault="003F55C3" w:rsidP="00BF0098">
      <w:pPr>
        <w:spacing w:line="360" w:lineRule="auto"/>
        <w:rPr>
          <w:rFonts w:ascii="Arial" w:hAnsi="Arial" w:cs="Arial"/>
          <w:sz w:val="24"/>
          <w:szCs w:val="24"/>
        </w:rPr>
      </w:pPr>
    </w:p>
    <w:p w:rsidR="003F55C3" w:rsidRPr="00BF0098" w:rsidRDefault="003F55C3" w:rsidP="00BF0098">
      <w:pPr>
        <w:spacing w:line="360" w:lineRule="auto"/>
        <w:rPr>
          <w:rFonts w:ascii="Arial" w:hAnsi="Arial" w:cs="Arial"/>
          <w:sz w:val="24"/>
          <w:szCs w:val="24"/>
        </w:rPr>
      </w:pPr>
    </w:p>
    <w:p w:rsidR="003F55C3" w:rsidRPr="00BF0098" w:rsidRDefault="003F55C3" w:rsidP="00BF0098">
      <w:pPr>
        <w:spacing w:line="360" w:lineRule="auto"/>
        <w:rPr>
          <w:rFonts w:ascii="Arial" w:hAnsi="Arial" w:cs="Arial"/>
          <w:sz w:val="24"/>
          <w:szCs w:val="24"/>
        </w:rPr>
      </w:pPr>
    </w:p>
    <w:p w:rsidR="003F55C3" w:rsidRPr="00BF0098" w:rsidRDefault="003F55C3" w:rsidP="00BF0098">
      <w:pPr>
        <w:spacing w:line="360" w:lineRule="auto"/>
        <w:rPr>
          <w:rFonts w:ascii="Arial" w:hAnsi="Arial" w:cs="Arial"/>
          <w:sz w:val="24"/>
          <w:szCs w:val="24"/>
        </w:rPr>
      </w:pPr>
    </w:p>
    <w:p w:rsidR="00312860" w:rsidRPr="00BF0098" w:rsidRDefault="00312860" w:rsidP="00BF0098">
      <w:pPr>
        <w:spacing w:line="360" w:lineRule="auto"/>
        <w:rPr>
          <w:rFonts w:ascii="Arial" w:hAnsi="Arial" w:cs="Arial"/>
          <w:sz w:val="24"/>
          <w:szCs w:val="24"/>
        </w:rPr>
      </w:pPr>
    </w:p>
    <w:sectPr w:rsidR="00312860" w:rsidRPr="00BF0098" w:rsidSect="0031286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5AEA3DD6"/>
    <w:lvl w:ilvl="0">
      <w:numFmt w:val="bullet"/>
      <w:lvlText w:val="*"/>
      <w:lvlJc w:val="left"/>
    </w:lvl>
  </w:abstractNum>
  <w:abstractNum w:abstractNumId="1">
    <w:nsid w:val="01B53D8D"/>
    <w:multiLevelType w:val="hybridMultilevel"/>
    <w:tmpl w:val="D10C4C4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9122ED5"/>
    <w:multiLevelType w:val="hybridMultilevel"/>
    <w:tmpl w:val="91086072"/>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09510713"/>
    <w:multiLevelType w:val="hybridMultilevel"/>
    <w:tmpl w:val="498267D8"/>
    <w:lvl w:ilvl="0" w:tplc="2AE602AC">
      <w:start w:val="1"/>
      <w:numFmt w:val="bullet"/>
      <w:lvlText w:val="-"/>
      <w:lvlJc w:val="left"/>
      <w:pPr>
        <w:tabs>
          <w:tab w:val="num" w:pos="800"/>
        </w:tabs>
        <w:ind w:left="800" w:hanging="360"/>
      </w:pPr>
      <w:rPr>
        <w:rFonts w:ascii="Arial" w:eastAsia="Times New Roman" w:hAnsi="Arial" w:cs="Arial" w:hint="default"/>
      </w:rPr>
    </w:lvl>
    <w:lvl w:ilvl="1" w:tplc="0C0A0003" w:tentative="1">
      <w:start w:val="1"/>
      <w:numFmt w:val="bullet"/>
      <w:lvlText w:val="o"/>
      <w:lvlJc w:val="left"/>
      <w:pPr>
        <w:tabs>
          <w:tab w:val="num" w:pos="1520"/>
        </w:tabs>
        <w:ind w:left="1520" w:hanging="360"/>
      </w:pPr>
      <w:rPr>
        <w:rFonts w:ascii="Courier New" w:hAnsi="Courier New" w:cs="Courier New" w:hint="default"/>
      </w:rPr>
    </w:lvl>
    <w:lvl w:ilvl="2" w:tplc="0C0A0005" w:tentative="1">
      <w:start w:val="1"/>
      <w:numFmt w:val="bullet"/>
      <w:lvlText w:val=""/>
      <w:lvlJc w:val="left"/>
      <w:pPr>
        <w:tabs>
          <w:tab w:val="num" w:pos="2240"/>
        </w:tabs>
        <w:ind w:left="2240" w:hanging="360"/>
      </w:pPr>
      <w:rPr>
        <w:rFonts w:ascii="Wingdings" w:hAnsi="Wingdings" w:hint="default"/>
      </w:rPr>
    </w:lvl>
    <w:lvl w:ilvl="3" w:tplc="0C0A0001" w:tentative="1">
      <w:start w:val="1"/>
      <w:numFmt w:val="bullet"/>
      <w:lvlText w:val=""/>
      <w:lvlJc w:val="left"/>
      <w:pPr>
        <w:tabs>
          <w:tab w:val="num" w:pos="2960"/>
        </w:tabs>
        <w:ind w:left="2960" w:hanging="360"/>
      </w:pPr>
      <w:rPr>
        <w:rFonts w:ascii="Symbol" w:hAnsi="Symbol" w:hint="default"/>
      </w:rPr>
    </w:lvl>
    <w:lvl w:ilvl="4" w:tplc="0C0A0003" w:tentative="1">
      <w:start w:val="1"/>
      <w:numFmt w:val="bullet"/>
      <w:lvlText w:val="o"/>
      <w:lvlJc w:val="left"/>
      <w:pPr>
        <w:tabs>
          <w:tab w:val="num" w:pos="3680"/>
        </w:tabs>
        <w:ind w:left="3680" w:hanging="360"/>
      </w:pPr>
      <w:rPr>
        <w:rFonts w:ascii="Courier New" w:hAnsi="Courier New" w:cs="Courier New" w:hint="default"/>
      </w:rPr>
    </w:lvl>
    <w:lvl w:ilvl="5" w:tplc="0C0A0005" w:tentative="1">
      <w:start w:val="1"/>
      <w:numFmt w:val="bullet"/>
      <w:lvlText w:val=""/>
      <w:lvlJc w:val="left"/>
      <w:pPr>
        <w:tabs>
          <w:tab w:val="num" w:pos="4400"/>
        </w:tabs>
        <w:ind w:left="4400" w:hanging="360"/>
      </w:pPr>
      <w:rPr>
        <w:rFonts w:ascii="Wingdings" w:hAnsi="Wingdings" w:hint="default"/>
      </w:rPr>
    </w:lvl>
    <w:lvl w:ilvl="6" w:tplc="0C0A0001" w:tentative="1">
      <w:start w:val="1"/>
      <w:numFmt w:val="bullet"/>
      <w:lvlText w:val=""/>
      <w:lvlJc w:val="left"/>
      <w:pPr>
        <w:tabs>
          <w:tab w:val="num" w:pos="5120"/>
        </w:tabs>
        <w:ind w:left="5120" w:hanging="360"/>
      </w:pPr>
      <w:rPr>
        <w:rFonts w:ascii="Symbol" w:hAnsi="Symbol" w:hint="default"/>
      </w:rPr>
    </w:lvl>
    <w:lvl w:ilvl="7" w:tplc="0C0A0003" w:tentative="1">
      <w:start w:val="1"/>
      <w:numFmt w:val="bullet"/>
      <w:lvlText w:val="o"/>
      <w:lvlJc w:val="left"/>
      <w:pPr>
        <w:tabs>
          <w:tab w:val="num" w:pos="5840"/>
        </w:tabs>
        <w:ind w:left="5840" w:hanging="360"/>
      </w:pPr>
      <w:rPr>
        <w:rFonts w:ascii="Courier New" w:hAnsi="Courier New" w:cs="Courier New" w:hint="default"/>
      </w:rPr>
    </w:lvl>
    <w:lvl w:ilvl="8" w:tplc="0C0A0005" w:tentative="1">
      <w:start w:val="1"/>
      <w:numFmt w:val="bullet"/>
      <w:lvlText w:val=""/>
      <w:lvlJc w:val="left"/>
      <w:pPr>
        <w:tabs>
          <w:tab w:val="num" w:pos="6560"/>
        </w:tabs>
        <w:ind w:left="6560" w:hanging="360"/>
      </w:pPr>
      <w:rPr>
        <w:rFonts w:ascii="Wingdings" w:hAnsi="Wingdings" w:hint="default"/>
      </w:rPr>
    </w:lvl>
  </w:abstractNum>
  <w:abstractNum w:abstractNumId="4">
    <w:nsid w:val="0DEC59CB"/>
    <w:multiLevelType w:val="hybridMultilevel"/>
    <w:tmpl w:val="0C52EA4C"/>
    <w:lvl w:ilvl="0" w:tplc="D8B661CA">
      <w:numFmt w:val="bullet"/>
      <w:lvlText w:val="-"/>
      <w:lvlJc w:val="left"/>
      <w:pPr>
        <w:tabs>
          <w:tab w:val="num" w:pos="700"/>
        </w:tabs>
        <w:ind w:left="624" w:hanging="284"/>
      </w:pPr>
      <w:rPr>
        <w:rFont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0E3C3984"/>
    <w:multiLevelType w:val="hybridMultilevel"/>
    <w:tmpl w:val="52A85E3E"/>
    <w:lvl w:ilvl="0" w:tplc="0C0A0001">
      <w:start w:val="1"/>
      <w:numFmt w:val="bullet"/>
      <w:lvlText w:val=""/>
      <w:lvlJc w:val="left"/>
      <w:pPr>
        <w:ind w:left="751" w:hanging="360"/>
      </w:pPr>
      <w:rPr>
        <w:rFonts w:ascii="Symbol" w:hAnsi="Symbol" w:hint="default"/>
      </w:rPr>
    </w:lvl>
    <w:lvl w:ilvl="1" w:tplc="0C0A0003" w:tentative="1">
      <w:start w:val="1"/>
      <w:numFmt w:val="bullet"/>
      <w:lvlText w:val="o"/>
      <w:lvlJc w:val="left"/>
      <w:pPr>
        <w:ind w:left="1471" w:hanging="360"/>
      </w:pPr>
      <w:rPr>
        <w:rFonts w:ascii="Courier New" w:hAnsi="Courier New" w:cs="Courier New" w:hint="default"/>
      </w:rPr>
    </w:lvl>
    <w:lvl w:ilvl="2" w:tplc="0C0A0005" w:tentative="1">
      <w:start w:val="1"/>
      <w:numFmt w:val="bullet"/>
      <w:lvlText w:val=""/>
      <w:lvlJc w:val="left"/>
      <w:pPr>
        <w:ind w:left="2191" w:hanging="360"/>
      </w:pPr>
      <w:rPr>
        <w:rFonts w:ascii="Wingdings" w:hAnsi="Wingdings" w:hint="default"/>
      </w:rPr>
    </w:lvl>
    <w:lvl w:ilvl="3" w:tplc="0C0A0001" w:tentative="1">
      <w:start w:val="1"/>
      <w:numFmt w:val="bullet"/>
      <w:lvlText w:val=""/>
      <w:lvlJc w:val="left"/>
      <w:pPr>
        <w:ind w:left="2911" w:hanging="360"/>
      </w:pPr>
      <w:rPr>
        <w:rFonts w:ascii="Symbol" w:hAnsi="Symbol" w:hint="default"/>
      </w:rPr>
    </w:lvl>
    <w:lvl w:ilvl="4" w:tplc="0C0A0003" w:tentative="1">
      <w:start w:val="1"/>
      <w:numFmt w:val="bullet"/>
      <w:lvlText w:val="o"/>
      <w:lvlJc w:val="left"/>
      <w:pPr>
        <w:ind w:left="3631" w:hanging="360"/>
      </w:pPr>
      <w:rPr>
        <w:rFonts w:ascii="Courier New" w:hAnsi="Courier New" w:cs="Courier New" w:hint="default"/>
      </w:rPr>
    </w:lvl>
    <w:lvl w:ilvl="5" w:tplc="0C0A0005" w:tentative="1">
      <w:start w:val="1"/>
      <w:numFmt w:val="bullet"/>
      <w:lvlText w:val=""/>
      <w:lvlJc w:val="left"/>
      <w:pPr>
        <w:ind w:left="4351" w:hanging="360"/>
      </w:pPr>
      <w:rPr>
        <w:rFonts w:ascii="Wingdings" w:hAnsi="Wingdings" w:hint="default"/>
      </w:rPr>
    </w:lvl>
    <w:lvl w:ilvl="6" w:tplc="0C0A0001" w:tentative="1">
      <w:start w:val="1"/>
      <w:numFmt w:val="bullet"/>
      <w:lvlText w:val=""/>
      <w:lvlJc w:val="left"/>
      <w:pPr>
        <w:ind w:left="5071" w:hanging="360"/>
      </w:pPr>
      <w:rPr>
        <w:rFonts w:ascii="Symbol" w:hAnsi="Symbol" w:hint="default"/>
      </w:rPr>
    </w:lvl>
    <w:lvl w:ilvl="7" w:tplc="0C0A0003" w:tentative="1">
      <w:start w:val="1"/>
      <w:numFmt w:val="bullet"/>
      <w:lvlText w:val="o"/>
      <w:lvlJc w:val="left"/>
      <w:pPr>
        <w:ind w:left="5791" w:hanging="360"/>
      </w:pPr>
      <w:rPr>
        <w:rFonts w:ascii="Courier New" w:hAnsi="Courier New" w:cs="Courier New" w:hint="default"/>
      </w:rPr>
    </w:lvl>
    <w:lvl w:ilvl="8" w:tplc="0C0A0005" w:tentative="1">
      <w:start w:val="1"/>
      <w:numFmt w:val="bullet"/>
      <w:lvlText w:val=""/>
      <w:lvlJc w:val="left"/>
      <w:pPr>
        <w:ind w:left="6511" w:hanging="360"/>
      </w:pPr>
      <w:rPr>
        <w:rFonts w:ascii="Wingdings" w:hAnsi="Wingdings" w:hint="default"/>
      </w:rPr>
    </w:lvl>
  </w:abstractNum>
  <w:abstractNum w:abstractNumId="6">
    <w:nsid w:val="0EDE07BA"/>
    <w:multiLevelType w:val="hybridMultilevel"/>
    <w:tmpl w:val="CE2E591C"/>
    <w:lvl w:ilvl="0" w:tplc="0C0A000D">
      <w:start w:val="1"/>
      <w:numFmt w:val="bullet"/>
      <w:lvlText w:val=""/>
      <w:lvlJc w:val="left"/>
      <w:pPr>
        <w:ind w:left="1778" w:hanging="360"/>
      </w:pPr>
      <w:rPr>
        <w:rFonts w:ascii="Wingdings" w:hAnsi="Wingdings"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7">
    <w:nsid w:val="0F5A15FF"/>
    <w:multiLevelType w:val="hybridMultilevel"/>
    <w:tmpl w:val="7534EDB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119418C6"/>
    <w:multiLevelType w:val="hybridMultilevel"/>
    <w:tmpl w:val="17E05056"/>
    <w:lvl w:ilvl="0" w:tplc="5AEA3DD6">
      <w:numFmt w:val="bullet"/>
      <w:lvlText w:val=""/>
      <w:legacy w:legacy="1" w:legacySpace="0" w:legacyIndent="0"/>
      <w:lvlJc w:val="left"/>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75C5879"/>
    <w:multiLevelType w:val="hybridMultilevel"/>
    <w:tmpl w:val="B03EAD1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17A544D0"/>
    <w:multiLevelType w:val="hybridMultilevel"/>
    <w:tmpl w:val="684E0F0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1E1261A8"/>
    <w:multiLevelType w:val="hybridMultilevel"/>
    <w:tmpl w:val="4650F5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1F0C4B00"/>
    <w:multiLevelType w:val="hybridMultilevel"/>
    <w:tmpl w:val="0570E71E"/>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3">
    <w:nsid w:val="258A5F0F"/>
    <w:multiLevelType w:val="hybridMultilevel"/>
    <w:tmpl w:val="26421C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2AB405CE"/>
    <w:multiLevelType w:val="hybridMultilevel"/>
    <w:tmpl w:val="A21483CE"/>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5">
    <w:nsid w:val="36BB6562"/>
    <w:multiLevelType w:val="hybridMultilevel"/>
    <w:tmpl w:val="5BF43102"/>
    <w:lvl w:ilvl="0" w:tplc="07D4ADFE">
      <w:start w:val="1"/>
      <w:numFmt w:val="decimal"/>
      <w:lvlText w:val="%1."/>
      <w:lvlJc w:val="left"/>
      <w:pPr>
        <w:tabs>
          <w:tab w:val="num" w:pos="454"/>
        </w:tabs>
        <w:ind w:left="454" w:hanging="454"/>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36E361F0"/>
    <w:multiLevelType w:val="hybridMultilevel"/>
    <w:tmpl w:val="EDDA6576"/>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7">
    <w:nsid w:val="36EA7C21"/>
    <w:multiLevelType w:val="hybridMultilevel"/>
    <w:tmpl w:val="BE1A5C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4FF06F55"/>
    <w:multiLevelType w:val="hybridMultilevel"/>
    <w:tmpl w:val="3E42F6B4"/>
    <w:lvl w:ilvl="0" w:tplc="0C0A0001">
      <w:start w:val="1"/>
      <w:numFmt w:val="bullet"/>
      <w:lvlText w:val=""/>
      <w:lvlJc w:val="left"/>
      <w:pPr>
        <w:ind w:left="1211" w:hanging="360"/>
      </w:pPr>
      <w:rPr>
        <w:rFonts w:ascii="Symbol" w:hAnsi="Symbol" w:hint="default"/>
      </w:rPr>
    </w:lvl>
    <w:lvl w:ilvl="1" w:tplc="0C0A0003" w:tentative="1">
      <w:start w:val="1"/>
      <w:numFmt w:val="bullet"/>
      <w:lvlText w:val="o"/>
      <w:lvlJc w:val="left"/>
      <w:pPr>
        <w:ind w:left="1931" w:hanging="360"/>
      </w:pPr>
      <w:rPr>
        <w:rFonts w:ascii="Courier New" w:hAnsi="Courier New" w:cs="Courier New" w:hint="default"/>
      </w:rPr>
    </w:lvl>
    <w:lvl w:ilvl="2" w:tplc="0C0A0005" w:tentative="1">
      <w:start w:val="1"/>
      <w:numFmt w:val="bullet"/>
      <w:lvlText w:val=""/>
      <w:lvlJc w:val="left"/>
      <w:pPr>
        <w:ind w:left="2651" w:hanging="360"/>
      </w:pPr>
      <w:rPr>
        <w:rFonts w:ascii="Wingdings" w:hAnsi="Wingdings" w:hint="default"/>
      </w:rPr>
    </w:lvl>
    <w:lvl w:ilvl="3" w:tplc="0C0A0001" w:tentative="1">
      <w:start w:val="1"/>
      <w:numFmt w:val="bullet"/>
      <w:lvlText w:val=""/>
      <w:lvlJc w:val="left"/>
      <w:pPr>
        <w:ind w:left="3371" w:hanging="360"/>
      </w:pPr>
      <w:rPr>
        <w:rFonts w:ascii="Symbol" w:hAnsi="Symbol" w:hint="default"/>
      </w:rPr>
    </w:lvl>
    <w:lvl w:ilvl="4" w:tplc="0C0A0003" w:tentative="1">
      <w:start w:val="1"/>
      <w:numFmt w:val="bullet"/>
      <w:lvlText w:val="o"/>
      <w:lvlJc w:val="left"/>
      <w:pPr>
        <w:ind w:left="4091" w:hanging="360"/>
      </w:pPr>
      <w:rPr>
        <w:rFonts w:ascii="Courier New" w:hAnsi="Courier New" w:cs="Courier New" w:hint="default"/>
      </w:rPr>
    </w:lvl>
    <w:lvl w:ilvl="5" w:tplc="0C0A0005" w:tentative="1">
      <w:start w:val="1"/>
      <w:numFmt w:val="bullet"/>
      <w:lvlText w:val=""/>
      <w:lvlJc w:val="left"/>
      <w:pPr>
        <w:ind w:left="4811" w:hanging="360"/>
      </w:pPr>
      <w:rPr>
        <w:rFonts w:ascii="Wingdings" w:hAnsi="Wingdings" w:hint="default"/>
      </w:rPr>
    </w:lvl>
    <w:lvl w:ilvl="6" w:tplc="0C0A0001" w:tentative="1">
      <w:start w:val="1"/>
      <w:numFmt w:val="bullet"/>
      <w:lvlText w:val=""/>
      <w:lvlJc w:val="left"/>
      <w:pPr>
        <w:ind w:left="5531" w:hanging="360"/>
      </w:pPr>
      <w:rPr>
        <w:rFonts w:ascii="Symbol" w:hAnsi="Symbol" w:hint="default"/>
      </w:rPr>
    </w:lvl>
    <w:lvl w:ilvl="7" w:tplc="0C0A0003" w:tentative="1">
      <w:start w:val="1"/>
      <w:numFmt w:val="bullet"/>
      <w:lvlText w:val="o"/>
      <w:lvlJc w:val="left"/>
      <w:pPr>
        <w:ind w:left="6251" w:hanging="360"/>
      </w:pPr>
      <w:rPr>
        <w:rFonts w:ascii="Courier New" w:hAnsi="Courier New" w:cs="Courier New" w:hint="default"/>
      </w:rPr>
    </w:lvl>
    <w:lvl w:ilvl="8" w:tplc="0C0A0005" w:tentative="1">
      <w:start w:val="1"/>
      <w:numFmt w:val="bullet"/>
      <w:lvlText w:val=""/>
      <w:lvlJc w:val="left"/>
      <w:pPr>
        <w:ind w:left="6971" w:hanging="360"/>
      </w:pPr>
      <w:rPr>
        <w:rFonts w:ascii="Wingdings" w:hAnsi="Wingdings" w:hint="default"/>
      </w:rPr>
    </w:lvl>
  </w:abstractNum>
  <w:abstractNum w:abstractNumId="19">
    <w:nsid w:val="516D1017"/>
    <w:multiLevelType w:val="hybridMultilevel"/>
    <w:tmpl w:val="D92C2278"/>
    <w:lvl w:ilvl="0" w:tplc="0C0A000D">
      <w:start w:val="1"/>
      <w:numFmt w:val="bullet"/>
      <w:lvlText w:val=""/>
      <w:lvlJc w:val="left"/>
      <w:pPr>
        <w:ind w:left="1778" w:hanging="360"/>
      </w:pPr>
      <w:rPr>
        <w:rFonts w:ascii="Wingdings" w:hAnsi="Wingdings"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0">
    <w:nsid w:val="520C58AC"/>
    <w:multiLevelType w:val="hybridMultilevel"/>
    <w:tmpl w:val="CF50E03E"/>
    <w:lvl w:ilvl="0" w:tplc="0C0A000D">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1">
    <w:nsid w:val="59E029B6"/>
    <w:multiLevelType w:val="hybridMultilevel"/>
    <w:tmpl w:val="D42C365C"/>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2">
    <w:nsid w:val="5AD27AB3"/>
    <w:multiLevelType w:val="hybridMultilevel"/>
    <w:tmpl w:val="9BB86CC0"/>
    <w:lvl w:ilvl="0" w:tplc="9DAAE88A">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5B093A4F"/>
    <w:multiLevelType w:val="hybridMultilevel"/>
    <w:tmpl w:val="F49CCFF0"/>
    <w:lvl w:ilvl="0" w:tplc="0C0A0001">
      <w:start w:val="1"/>
      <w:numFmt w:val="bullet"/>
      <w:lvlText w:val=""/>
      <w:lvlJc w:val="left"/>
      <w:pPr>
        <w:ind w:left="929" w:hanging="360"/>
      </w:pPr>
      <w:rPr>
        <w:rFonts w:ascii="Symbol" w:hAnsi="Symbol" w:hint="default"/>
      </w:rPr>
    </w:lvl>
    <w:lvl w:ilvl="1" w:tplc="0C0A0003" w:tentative="1">
      <w:start w:val="1"/>
      <w:numFmt w:val="bullet"/>
      <w:lvlText w:val="o"/>
      <w:lvlJc w:val="left"/>
      <w:pPr>
        <w:ind w:left="1649" w:hanging="360"/>
      </w:pPr>
      <w:rPr>
        <w:rFonts w:ascii="Courier New" w:hAnsi="Courier New" w:cs="Courier New" w:hint="default"/>
      </w:rPr>
    </w:lvl>
    <w:lvl w:ilvl="2" w:tplc="0C0A0005" w:tentative="1">
      <w:start w:val="1"/>
      <w:numFmt w:val="bullet"/>
      <w:lvlText w:val=""/>
      <w:lvlJc w:val="left"/>
      <w:pPr>
        <w:ind w:left="2369" w:hanging="360"/>
      </w:pPr>
      <w:rPr>
        <w:rFonts w:ascii="Wingdings" w:hAnsi="Wingdings" w:hint="default"/>
      </w:rPr>
    </w:lvl>
    <w:lvl w:ilvl="3" w:tplc="0C0A0001" w:tentative="1">
      <w:start w:val="1"/>
      <w:numFmt w:val="bullet"/>
      <w:lvlText w:val=""/>
      <w:lvlJc w:val="left"/>
      <w:pPr>
        <w:ind w:left="3089" w:hanging="360"/>
      </w:pPr>
      <w:rPr>
        <w:rFonts w:ascii="Symbol" w:hAnsi="Symbol" w:hint="default"/>
      </w:rPr>
    </w:lvl>
    <w:lvl w:ilvl="4" w:tplc="0C0A0003" w:tentative="1">
      <w:start w:val="1"/>
      <w:numFmt w:val="bullet"/>
      <w:lvlText w:val="o"/>
      <w:lvlJc w:val="left"/>
      <w:pPr>
        <w:ind w:left="3809" w:hanging="360"/>
      </w:pPr>
      <w:rPr>
        <w:rFonts w:ascii="Courier New" w:hAnsi="Courier New" w:cs="Courier New" w:hint="default"/>
      </w:rPr>
    </w:lvl>
    <w:lvl w:ilvl="5" w:tplc="0C0A0005" w:tentative="1">
      <w:start w:val="1"/>
      <w:numFmt w:val="bullet"/>
      <w:lvlText w:val=""/>
      <w:lvlJc w:val="left"/>
      <w:pPr>
        <w:ind w:left="4529" w:hanging="360"/>
      </w:pPr>
      <w:rPr>
        <w:rFonts w:ascii="Wingdings" w:hAnsi="Wingdings" w:hint="default"/>
      </w:rPr>
    </w:lvl>
    <w:lvl w:ilvl="6" w:tplc="0C0A0001" w:tentative="1">
      <w:start w:val="1"/>
      <w:numFmt w:val="bullet"/>
      <w:lvlText w:val=""/>
      <w:lvlJc w:val="left"/>
      <w:pPr>
        <w:ind w:left="5249" w:hanging="360"/>
      </w:pPr>
      <w:rPr>
        <w:rFonts w:ascii="Symbol" w:hAnsi="Symbol" w:hint="default"/>
      </w:rPr>
    </w:lvl>
    <w:lvl w:ilvl="7" w:tplc="0C0A0003" w:tentative="1">
      <w:start w:val="1"/>
      <w:numFmt w:val="bullet"/>
      <w:lvlText w:val="o"/>
      <w:lvlJc w:val="left"/>
      <w:pPr>
        <w:ind w:left="5969" w:hanging="360"/>
      </w:pPr>
      <w:rPr>
        <w:rFonts w:ascii="Courier New" w:hAnsi="Courier New" w:cs="Courier New" w:hint="default"/>
      </w:rPr>
    </w:lvl>
    <w:lvl w:ilvl="8" w:tplc="0C0A0005" w:tentative="1">
      <w:start w:val="1"/>
      <w:numFmt w:val="bullet"/>
      <w:lvlText w:val=""/>
      <w:lvlJc w:val="left"/>
      <w:pPr>
        <w:ind w:left="6689" w:hanging="360"/>
      </w:pPr>
      <w:rPr>
        <w:rFonts w:ascii="Wingdings" w:hAnsi="Wingdings" w:hint="default"/>
      </w:rPr>
    </w:lvl>
  </w:abstractNum>
  <w:abstractNum w:abstractNumId="24">
    <w:nsid w:val="650F4424"/>
    <w:multiLevelType w:val="hybridMultilevel"/>
    <w:tmpl w:val="C25CDE58"/>
    <w:lvl w:ilvl="0" w:tplc="0C0A0001">
      <w:start w:val="1"/>
      <w:numFmt w:val="bullet"/>
      <w:lvlText w:val=""/>
      <w:lvlJc w:val="left"/>
      <w:pPr>
        <w:ind w:left="929" w:hanging="360"/>
      </w:pPr>
      <w:rPr>
        <w:rFonts w:ascii="Symbol" w:hAnsi="Symbol" w:hint="default"/>
      </w:rPr>
    </w:lvl>
    <w:lvl w:ilvl="1" w:tplc="0C0A0003" w:tentative="1">
      <w:start w:val="1"/>
      <w:numFmt w:val="bullet"/>
      <w:lvlText w:val="o"/>
      <w:lvlJc w:val="left"/>
      <w:pPr>
        <w:ind w:left="1649" w:hanging="360"/>
      </w:pPr>
      <w:rPr>
        <w:rFonts w:ascii="Courier New" w:hAnsi="Courier New" w:cs="Courier New" w:hint="default"/>
      </w:rPr>
    </w:lvl>
    <w:lvl w:ilvl="2" w:tplc="0C0A0005" w:tentative="1">
      <w:start w:val="1"/>
      <w:numFmt w:val="bullet"/>
      <w:lvlText w:val=""/>
      <w:lvlJc w:val="left"/>
      <w:pPr>
        <w:ind w:left="2369" w:hanging="360"/>
      </w:pPr>
      <w:rPr>
        <w:rFonts w:ascii="Wingdings" w:hAnsi="Wingdings" w:hint="default"/>
      </w:rPr>
    </w:lvl>
    <w:lvl w:ilvl="3" w:tplc="0C0A0001" w:tentative="1">
      <w:start w:val="1"/>
      <w:numFmt w:val="bullet"/>
      <w:lvlText w:val=""/>
      <w:lvlJc w:val="left"/>
      <w:pPr>
        <w:ind w:left="3089" w:hanging="360"/>
      </w:pPr>
      <w:rPr>
        <w:rFonts w:ascii="Symbol" w:hAnsi="Symbol" w:hint="default"/>
      </w:rPr>
    </w:lvl>
    <w:lvl w:ilvl="4" w:tplc="0C0A0003" w:tentative="1">
      <w:start w:val="1"/>
      <w:numFmt w:val="bullet"/>
      <w:lvlText w:val="o"/>
      <w:lvlJc w:val="left"/>
      <w:pPr>
        <w:ind w:left="3809" w:hanging="360"/>
      </w:pPr>
      <w:rPr>
        <w:rFonts w:ascii="Courier New" w:hAnsi="Courier New" w:cs="Courier New" w:hint="default"/>
      </w:rPr>
    </w:lvl>
    <w:lvl w:ilvl="5" w:tplc="0C0A0005" w:tentative="1">
      <w:start w:val="1"/>
      <w:numFmt w:val="bullet"/>
      <w:lvlText w:val=""/>
      <w:lvlJc w:val="left"/>
      <w:pPr>
        <w:ind w:left="4529" w:hanging="360"/>
      </w:pPr>
      <w:rPr>
        <w:rFonts w:ascii="Wingdings" w:hAnsi="Wingdings" w:hint="default"/>
      </w:rPr>
    </w:lvl>
    <w:lvl w:ilvl="6" w:tplc="0C0A0001" w:tentative="1">
      <w:start w:val="1"/>
      <w:numFmt w:val="bullet"/>
      <w:lvlText w:val=""/>
      <w:lvlJc w:val="left"/>
      <w:pPr>
        <w:ind w:left="5249" w:hanging="360"/>
      </w:pPr>
      <w:rPr>
        <w:rFonts w:ascii="Symbol" w:hAnsi="Symbol" w:hint="default"/>
      </w:rPr>
    </w:lvl>
    <w:lvl w:ilvl="7" w:tplc="0C0A0003" w:tentative="1">
      <w:start w:val="1"/>
      <w:numFmt w:val="bullet"/>
      <w:lvlText w:val="o"/>
      <w:lvlJc w:val="left"/>
      <w:pPr>
        <w:ind w:left="5969" w:hanging="360"/>
      </w:pPr>
      <w:rPr>
        <w:rFonts w:ascii="Courier New" w:hAnsi="Courier New" w:cs="Courier New" w:hint="default"/>
      </w:rPr>
    </w:lvl>
    <w:lvl w:ilvl="8" w:tplc="0C0A0005" w:tentative="1">
      <w:start w:val="1"/>
      <w:numFmt w:val="bullet"/>
      <w:lvlText w:val=""/>
      <w:lvlJc w:val="left"/>
      <w:pPr>
        <w:ind w:left="6689" w:hanging="360"/>
      </w:pPr>
      <w:rPr>
        <w:rFonts w:ascii="Wingdings" w:hAnsi="Wingdings" w:hint="default"/>
      </w:rPr>
    </w:lvl>
  </w:abstractNum>
  <w:abstractNum w:abstractNumId="25">
    <w:nsid w:val="68E731BB"/>
    <w:multiLevelType w:val="hybridMultilevel"/>
    <w:tmpl w:val="07C8CC80"/>
    <w:lvl w:ilvl="0" w:tplc="0C0A000F">
      <w:start w:val="6"/>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nsid w:val="723532CA"/>
    <w:multiLevelType w:val="hybridMultilevel"/>
    <w:tmpl w:val="975C3B2C"/>
    <w:lvl w:ilvl="0" w:tplc="0C0A0001">
      <w:start w:val="1"/>
      <w:numFmt w:val="bullet"/>
      <w:lvlText w:val=""/>
      <w:lvlJc w:val="left"/>
      <w:pPr>
        <w:ind w:left="751" w:hanging="360"/>
      </w:pPr>
      <w:rPr>
        <w:rFonts w:ascii="Symbol" w:hAnsi="Symbol" w:hint="default"/>
      </w:rPr>
    </w:lvl>
    <w:lvl w:ilvl="1" w:tplc="0C0A0003" w:tentative="1">
      <w:start w:val="1"/>
      <w:numFmt w:val="bullet"/>
      <w:lvlText w:val="o"/>
      <w:lvlJc w:val="left"/>
      <w:pPr>
        <w:ind w:left="1471" w:hanging="360"/>
      </w:pPr>
      <w:rPr>
        <w:rFonts w:ascii="Courier New" w:hAnsi="Courier New" w:cs="Courier New" w:hint="default"/>
      </w:rPr>
    </w:lvl>
    <w:lvl w:ilvl="2" w:tplc="0C0A0005" w:tentative="1">
      <w:start w:val="1"/>
      <w:numFmt w:val="bullet"/>
      <w:lvlText w:val=""/>
      <w:lvlJc w:val="left"/>
      <w:pPr>
        <w:ind w:left="2191" w:hanging="360"/>
      </w:pPr>
      <w:rPr>
        <w:rFonts w:ascii="Wingdings" w:hAnsi="Wingdings" w:hint="default"/>
      </w:rPr>
    </w:lvl>
    <w:lvl w:ilvl="3" w:tplc="0C0A0001" w:tentative="1">
      <w:start w:val="1"/>
      <w:numFmt w:val="bullet"/>
      <w:lvlText w:val=""/>
      <w:lvlJc w:val="left"/>
      <w:pPr>
        <w:ind w:left="2911" w:hanging="360"/>
      </w:pPr>
      <w:rPr>
        <w:rFonts w:ascii="Symbol" w:hAnsi="Symbol" w:hint="default"/>
      </w:rPr>
    </w:lvl>
    <w:lvl w:ilvl="4" w:tplc="0C0A0003" w:tentative="1">
      <w:start w:val="1"/>
      <w:numFmt w:val="bullet"/>
      <w:lvlText w:val="o"/>
      <w:lvlJc w:val="left"/>
      <w:pPr>
        <w:ind w:left="3631" w:hanging="360"/>
      </w:pPr>
      <w:rPr>
        <w:rFonts w:ascii="Courier New" w:hAnsi="Courier New" w:cs="Courier New" w:hint="default"/>
      </w:rPr>
    </w:lvl>
    <w:lvl w:ilvl="5" w:tplc="0C0A0005" w:tentative="1">
      <w:start w:val="1"/>
      <w:numFmt w:val="bullet"/>
      <w:lvlText w:val=""/>
      <w:lvlJc w:val="left"/>
      <w:pPr>
        <w:ind w:left="4351" w:hanging="360"/>
      </w:pPr>
      <w:rPr>
        <w:rFonts w:ascii="Wingdings" w:hAnsi="Wingdings" w:hint="default"/>
      </w:rPr>
    </w:lvl>
    <w:lvl w:ilvl="6" w:tplc="0C0A0001" w:tentative="1">
      <w:start w:val="1"/>
      <w:numFmt w:val="bullet"/>
      <w:lvlText w:val=""/>
      <w:lvlJc w:val="left"/>
      <w:pPr>
        <w:ind w:left="5071" w:hanging="360"/>
      </w:pPr>
      <w:rPr>
        <w:rFonts w:ascii="Symbol" w:hAnsi="Symbol" w:hint="default"/>
      </w:rPr>
    </w:lvl>
    <w:lvl w:ilvl="7" w:tplc="0C0A0003" w:tentative="1">
      <w:start w:val="1"/>
      <w:numFmt w:val="bullet"/>
      <w:lvlText w:val="o"/>
      <w:lvlJc w:val="left"/>
      <w:pPr>
        <w:ind w:left="5791" w:hanging="360"/>
      </w:pPr>
      <w:rPr>
        <w:rFonts w:ascii="Courier New" w:hAnsi="Courier New" w:cs="Courier New" w:hint="default"/>
      </w:rPr>
    </w:lvl>
    <w:lvl w:ilvl="8" w:tplc="0C0A0005" w:tentative="1">
      <w:start w:val="1"/>
      <w:numFmt w:val="bullet"/>
      <w:lvlText w:val=""/>
      <w:lvlJc w:val="left"/>
      <w:pPr>
        <w:ind w:left="6511" w:hanging="360"/>
      </w:pPr>
      <w:rPr>
        <w:rFonts w:ascii="Wingdings" w:hAnsi="Wingdings" w:hint="default"/>
      </w:rPr>
    </w:lvl>
  </w:abstractNum>
  <w:abstractNum w:abstractNumId="27">
    <w:nsid w:val="73B00890"/>
    <w:multiLevelType w:val="hybridMultilevel"/>
    <w:tmpl w:val="C1648C94"/>
    <w:lvl w:ilvl="0" w:tplc="2AE602AC">
      <w:start w:val="1"/>
      <w:numFmt w:val="bullet"/>
      <w:lvlText w:val="-"/>
      <w:lvlJc w:val="left"/>
      <w:pPr>
        <w:tabs>
          <w:tab w:val="num" w:pos="720"/>
        </w:tabs>
        <w:ind w:left="720" w:hanging="360"/>
      </w:pPr>
      <w:rPr>
        <w:rFonts w:ascii="Arial" w:eastAsia="Times New Roman" w:hAnsi="Arial" w:cs="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nsid w:val="75603109"/>
    <w:multiLevelType w:val="hybridMultilevel"/>
    <w:tmpl w:val="50322432"/>
    <w:lvl w:ilvl="0" w:tplc="E1B0DE4A">
      <w:numFmt w:val="bullet"/>
      <w:lvlText w:val="-"/>
      <w:lvlJc w:val="left"/>
      <w:pPr>
        <w:ind w:left="391" w:hanging="360"/>
      </w:pPr>
      <w:rPr>
        <w:rFonts w:ascii="Arial" w:eastAsia="Times New Roman" w:hAnsi="Arial" w:cs="Arial" w:hint="default"/>
      </w:rPr>
    </w:lvl>
    <w:lvl w:ilvl="1" w:tplc="0C0A0003" w:tentative="1">
      <w:start w:val="1"/>
      <w:numFmt w:val="bullet"/>
      <w:lvlText w:val="o"/>
      <w:lvlJc w:val="left"/>
      <w:pPr>
        <w:ind w:left="1111" w:hanging="360"/>
      </w:pPr>
      <w:rPr>
        <w:rFonts w:ascii="Courier New" w:hAnsi="Courier New" w:cs="Courier New" w:hint="default"/>
      </w:rPr>
    </w:lvl>
    <w:lvl w:ilvl="2" w:tplc="0C0A0005" w:tentative="1">
      <w:start w:val="1"/>
      <w:numFmt w:val="bullet"/>
      <w:lvlText w:val=""/>
      <w:lvlJc w:val="left"/>
      <w:pPr>
        <w:ind w:left="1831" w:hanging="360"/>
      </w:pPr>
      <w:rPr>
        <w:rFonts w:ascii="Wingdings" w:hAnsi="Wingdings" w:hint="default"/>
      </w:rPr>
    </w:lvl>
    <w:lvl w:ilvl="3" w:tplc="0C0A0001" w:tentative="1">
      <w:start w:val="1"/>
      <w:numFmt w:val="bullet"/>
      <w:lvlText w:val=""/>
      <w:lvlJc w:val="left"/>
      <w:pPr>
        <w:ind w:left="2551" w:hanging="360"/>
      </w:pPr>
      <w:rPr>
        <w:rFonts w:ascii="Symbol" w:hAnsi="Symbol" w:hint="default"/>
      </w:rPr>
    </w:lvl>
    <w:lvl w:ilvl="4" w:tplc="0C0A0003" w:tentative="1">
      <w:start w:val="1"/>
      <w:numFmt w:val="bullet"/>
      <w:lvlText w:val="o"/>
      <w:lvlJc w:val="left"/>
      <w:pPr>
        <w:ind w:left="3271" w:hanging="360"/>
      </w:pPr>
      <w:rPr>
        <w:rFonts w:ascii="Courier New" w:hAnsi="Courier New" w:cs="Courier New" w:hint="default"/>
      </w:rPr>
    </w:lvl>
    <w:lvl w:ilvl="5" w:tplc="0C0A0005" w:tentative="1">
      <w:start w:val="1"/>
      <w:numFmt w:val="bullet"/>
      <w:lvlText w:val=""/>
      <w:lvlJc w:val="left"/>
      <w:pPr>
        <w:ind w:left="3991" w:hanging="360"/>
      </w:pPr>
      <w:rPr>
        <w:rFonts w:ascii="Wingdings" w:hAnsi="Wingdings" w:hint="default"/>
      </w:rPr>
    </w:lvl>
    <w:lvl w:ilvl="6" w:tplc="0C0A0001" w:tentative="1">
      <w:start w:val="1"/>
      <w:numFmt w:val="bullet"/>
      <w:lvlText w:val=""/>
      <w:lvlJc w:val="left"/>
      <w:pPr>
        <w:ind w:left="4711" w:hanging="360"/>
      </w:pPr>
      <w:rPr>
        <w:rFonts w:ascii="Symbol" w:hAnsi="Symbol" w:hint="default"/>
      </w:rPr>
    </w:lvl>
    <w:lvl w:ilvl="7" w:tplc="0C0A0003" w:tentative="1">
      <w:start w:val="1"/>
      <w:numFmt w:val="bullet"/>
      <w:lvlText w:val="o"/>
      <w:lvlJc w:val="left"/>
      <w:pPr>
        <w:ind w:left="5431" w:hanging="360"/>
      </w:pPr>
      <w:rPr>
        <w:rFonts w:ascii="Courier New" w:hAnsi="Courier New" w:cs="Courier New" w:hint="default"/>
      </w:rPr>
    </w:lvl>
    <w:lvl w:ilvl="8" w:tplc="0C0A0005" w:tentative="1">
      <w:start w:val="1"/>
      <w:numFmt w:val="bullet"/>
      <w:lvlText w:val=""/>
      <w:lvlJc w:val="left"/>
      <w:pPr>
        <w:ind w:left="6151" w:hanging="360"/>
      </w:pPr>
      <w:rPr>
        <w:rFonts w:ascii="Wingdings" w:hAnsi="Wingdings" w:hint="default"/>
      </w:rPr>
    </w:lvl>
  </w:abstractNum>
  <w:abstractNum w:abstractNumId="29">
    <w:nsid w:val="77B77CB9"/>
    <w:multiLevelType w:val="hybridMultilevel"/>
    <w:tmpl w:val="29CCF864"/>
    <w:lvl w:ilvl="0" w:tplc="06961418">
      <w:start w:val="1"/>
      <w:numFmt w:val="decimal"/>
      <w:lvlText w:val="%1."/>
      <w:lvlJc w:val="left"/>
      <w:pPr>
        <w:tabs>
          <w:tab w:val="num" w:pos="944"/>
        </w:tabs>
        <w:ind w:left="944" w:hanging="360"/>
      </w:pPr>
      <w:rPr>
        <w:rFonts w:hint="default"/>
      </w:rPr>
    </w:lvl>
    <w:lvl w:ilvl="1" w:tplc="0C0A0019" w:tentative="1">
      <w:start w:val="1"/>
      <w:numFmt w:val="lowerLetter"/>
      <w:lvlText w:val="%2."/>
      <w:lvlJc w:val="left"/>
      <w:pPr>
        <w:tabs>
          <w:tab w:val="num" w:pos="1664"/>
        </w:tabs>
        <w:ind w:left="1664" w:hanging="360"/>
      </w:pPr>
    </w:lvl>
    <w:lvl w:ilvl="2" w:tplc="0C0A001B" w:tentative="1">
      <w:start w:val="1"/>
      <w:numFmt w:val="lowerRoman"/>
      <w:lvlText w:val="%3."/>
      <w:lvlJc w:val="right"/>
      <w:pPr>
        <w:tabs>
          <w:tab w:val="num" w:pos="2384"/>
        </w:tabs>
        <w:ind w:left="2384" w:hanging="180"/>
      </w:pPr>
    </w:lvl>
    <w:lvl w:ilvl="3" w:tplc="0C0A000F" w:tentative="1">
      <w:start w:val="1"/>
      <w:numFmt w:val="decimal"/>
      <w:lvlText w:val="%4."/>
      <w:lvlJc w:val="left"/>
      <w:pPr>
        <w:tabs>
          <w:tab w:val="num" w:pos="3104"/>
        </w:tabs>
        <w:ind w:left="3104" w:hanging="360"/>
      </w:pPr>
    </w:lvl>
    <w:lvl w:ilvl="4" w:tplc="0C0A0019" w:tentative="1">
      <w:start w:val="1"/>
      <w:numFmt w:val="lowerLetter"/>
      <w:lvlText w:val="%5."/>
      <w:lvlJc w:val="left"/>
      <w:pPr>
        <w:tabs>
          <w:tab w:val="num" w:pos="3824"/>
        </w:tabs>
        <w:ind w:left="3824" w:hanging="360"/>
      </w:pPr>
    </w:lvl>
    <w:lvl w:ilvl="5" w:tplc="0C0A001B" w:tentative="1">
      <w:start w:val="1"/>
      <w:numFmt w:val="lowerRoman"/>
      <w:lvlText w:val="%6."/>
      <w:lvlJc w:val="right"/>
      <w:pPr>
        <w:tabs>
          <w:tab w:val="num" w:pos="4544"/>
        </w:tabs>
        <w:ind w:left="4544" w:hanging="180"/>
      </w:pPr>
    </w:lvl>
    <w:lvl w:ilvl="6" w:tplc="0C0A000F" w:tentative="1">
      <w:start w:val="1"/>
      <w:numFmt w:val="decimal"/>
      <w:lvlText w:val="%7."/>
      <w:lvlJc w:val="left"/>
      <w:pPr>
        <w:tabs>
          <w:tab w:val="num" w:pos="5264"/>
        </w:tabs>
        <w:ind w:left="5264" w:hanging="360"/>
      </w:pPr>
    </w:lvl>
    <w:lvl w:ilvl="7" w:tplc="0C0A0019" w:tentative="1">
      <w:start w:val="1"/>
      <w:numFmt w:val="lowerLetter"/>
      <w:lvlText w:val="%8."/>
      <w:lvlJc w:val="left"/>
      <w:pPr>
        <w:tabs>
          <w:tab w:val="num" w:pos="5984"/>
        </w:tabs>
        <w:ind w:left="5984" w:hanging="360"/>
      </w:pPr>
    </w:lvl>
    <w:lvl w:ilvl="8" w:tplc="0C0A001B" w:tentative="1">
      <w:start w:val="1"/>
      <w:numFmt w:val="lowerRoman"/>
      <w:lvlText w:val="%9."/>
      <w:lvlJc w:val="right"/>
      <w:pPr>
        <w:tabs>
          <w:tab w:val="num" w:pos="6704"/>
        </w:tabs>
        <w:ind w:left="6704" w:hanging="180"/>
      </w:pPr>
    </w:lvl>
  </w:abstractNum>
  <w:abstractNum w:abstractNumId="30">
    <w:nsid w:val="7C312BAB"/>
    <w:multiLevelType w:val="hybridMultilevel"/>
    <w:tmpl w:val="04BC0404"/>
    <w:lvl w:ilvl="0" w:tplc="A058BC7A">
      <w:start w:val="1"/>
      <w:numFmt w:val="decimal"/>
      <w:lvlText w:val="%1."/>
      <w:lvlJc w:val="left"/>
      <w:pPr>
        <w:tabs>
          <w:tab w:val="num" w:pos="795"/>
        </w:tabs>
        <w:ind w:left="795" w:hanging="435"/>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nsid w:val="7E2A66CA"/>
    <w:multiLevelType w:val="hybridMultilevel"/>
    <w:tmpl w:val="23D88FE4"/>
    <w:lvl w:ilvl="0" w:tplc="0C0A0009">
      <w:start w:val="1"/>
      <w:numFmt w:val="bullet"/>
      <w:lvlText w:val=""/>
      <w:lvlJc w:val="left"/>
      <w:pPr>
        <w:ind w:left="1471" w:hanging="360"/>
      </w:pPr>
      <w:rPr>
        <w:rFonts w:ascii="Wingdings" w:hAnsi="Wingdings" w:hint="default"/>
      </w:rPr>
    </w:lvl>
    <w:lvl w:ilvl="1" w:tplc="0C0A0003" w:tentative="1">
      <w:start w:val="1"/>
      <w:numFmt w:val="bullet"/>
      <w:lvlText w:val="o"/>
      <w:lvlJc w:val="left"/>
      <w:pPr>
        <w:ind w:left="2191" w:hanging="360"/>
      </w:pPr>
      <w:rPr>
        <w:rFonts w:ascii="Courier New" w:hAnsi="Courier New" w:cs="Courier New" w:hint="default"/>
      </w:rPr>
    </w:lvl>
    <w:lvl w:ilvl="2" w:tplc="0C0A0005" w:tentative="1">
      <w:start w:val="1"/>
      <w:numFmt w:val="bullet"/>
      <w:lvlText w:val=""/>
      <w:lvlJc w:val="left"/>
      <w:pPr>
        <w:ind w:left="2911" w:hanging="360"/>
      </w:pPr>
      <w:rPr>
        <w:rFonts w:ascii="Wingdings" w:hAnsi="Wingdings" w:hint="default"/>
      </w:rPr>
    </w:lvl>
    <w:lvl w:ilvl="3" w:tplc="0C0A0001" w:tentative="1">
      <w:start w:val="1"/>
      <w:numFmt w:val="bullet"/>
      <w:lvlText w:val=""/>
      <w:lvlJc w:val="left"/>
      <w:pPr>
        <w:ind w:left="3631" w:hanging="360"/>
      </w:pPr>
      <w:rPr>
        <w:rFonts w:ascii="Symbol" w:hAnsi="Symbol" w:hint="default"/>
      </w:rPr>
    </w:lvl>
    <w:lvl w:ilvl="4" w:tplc="0C0A0003" w:tentative="1">
      <w:start w:val="1"/>
      <w:numFmt w:val="bullet"/>
      <w:lvlText w:val="o"/>
      <w:lvlJc w:val="left"/>
      <w:pPr>
        <w:ind w:left="4351" w:hanging="360"/>
      </w:pPr>
      <w:rPr>
        <w:rFonts w:ascii="Courier New" w:hAnsi="Courier New" w:cs="Courier New" w:hint="default"/>
      </w:rPr>
    </w:lvl>
    <w:lvl w:ilvl="5" w:tplc="0C0A0005" w:tentative="1">
      <w:start w:val="1"/>
      <w:numFmt w:val="bullet"/>
      <w:lvlText w:val=""/>
      <w:lvlJc w:val="left"/>
      <w:pPr>
        <w:ind w:left="5071" w:hanging="360"/>
      </w:pPr>
      <w:rPr>
        <w:rFonts w:ascii="Wingdings" w:hAnsi="Wingdings" w:hint="default"/>
      </w:rPr>
    </w:lvl>
    <w:lvl w:ilvl="6" w:tplc="0C0A0001" w:tentative="1">
      <w:start w:val="1"/>
      <w:numFmt w:val="bullet"/>
      <w:lvlText w:val=""/>
      <w:lvlJc w:val="left"/>
      <w:pPr>
        <w:ind w:left="5791" w:hanging="360"/>
      </w:pPr>
      <w:rPr>
        <w:rFonts w:ascii="Symbol" w:hAnsi="Symbol" w:hint="default"/>
      </w:rPr>
    </w:lvl>
    <w:lvl w:ilvl="7" w:tplc="0C0A0003" w:tentative="1">
      <w:start w:val="1"/>
      <w:numFmt w:val="bullet"/>
      <w:lvlText w:val="o"/>
      <w:lvlJc w:val="left"/>
      <w:pPr>
        <w:ind w:left="6511" w:hanging="360"/>
      </w:pPr>
      <w:rPr>
        <w:rFonts w:ascii="Courier New" w:hAnsi="Courier New" w:cs="Courier New" w:hint="default"/>
      </w:rPr>
    </w:lvl>
    <w:lvl w:ilvl="8" w:tplc="0C0A0005" w:tentative="1">
      <w:start w:val="1"/>
      <w:numFmt w:val="bullet"/>
      <w:lvlText w:val=""/>
      <w:lvlJc w:val="left"/>
      <w:pPr>
        <w:ind w:left="7231" w:hanging="360"/>
      </w:pPr>
      <w:rPr>
        <w:rFonts w:ascii="Wingdings" w:hAnsi="Wingdings" w:hint="default"/>
      </w:rPr>
    </w:lvl>
  </w:abstractNum>
  <w:abstractNum w:abstractNumId="32">
    <w:nsid w:val="7FF93B71"/>
    <w:multiLevelType w:val="hybridMultilevel"/>
    <w:tmpl w:val="3C0E5AAE"/>
    <w:lvl w:ilvl="0" w:tplc="0C0A0001">
      <w:start w:val="1"/>
      <w:numFmt w:val="bullet"/>
      <w:lvlText w:val=""/>
      <w:lvlJc w:val="left"/>
      <w:pPr>
        <w:ind w:left="751" w:hanging="360"/>
      </w:pPr>
      <w:rPr>
        <w:rFonts w:ascii="Symbol" w:hAnsi="Symbol" w:hint="default"/>
      </w:rPr>
    </w:lvl>
    <w:lvl w:ilvl="1" w:tplc="0C0A0003" w:tentative="1">
      <w:start w:val="1"/>
      <w:numFmt w:val="bullet"/>
      <w:lvlText w:val="o"/>
      <w:lvlJc w:val="left"/>
      <w:pPr>
        <w:ind w:left="1471" w:hanging="360"/>
      </w:pPr>
      <w:rPr>
        <w:rFonts w:ascii="Courier New" w:hAnsi="Courier New" w:cs="Courier New" w:hint="default"/>
      </w:rPr>
    </w:lvl>
    <w:lvl w:ilvl="2" w:tplc="0C0A0005" w:tentative="1">
      <w:start w:val="1"/>
      <w:numFmt w:val="bullet"/>
      <w:lvlText w:val=""/>
      <w:lvlJc w:val="left"/>
      <w:pPr>
        <w:ind w:left="2191" w:hanging="360"/>
      </w:pPr>
      <w:rPr>
        <w:rFonts w:ascii="Wingdings" w:hAnsi="Wingdings" w:hint="default"/>
      </w:rPr>
    </w:lvl>
    <w:lvl w:ilvl="3" w:tplc="0C0A0001" w:tentative="1">
      <w:start w:val="1"/>
      <w:numFmt w:val="bullet"/>
      <w:lvlText w:val=""/>
      <w:lvlJc w:val="left"/>
      <w:pPr>
        <w:ind w:left="2911" w:hanging="360"/>
      </w:pPr>
      <w:rPr>
        <w:rFonts w:ascii="Symbol" w:hAnsi="Symbol" w:hint="default"/>
      </w:rPr>
    </w:lvl>
    <w:lvl w:ilvl="4" w:tplc="0C0A0003" w:tentative="1">
      <w:start w:val="1"/>
      <w:numFmt w:val="bullet"/>
      <w:lvlText w:val="o"/>
      <w:lvlJc w:val="left"/>
      <w:pPr>
        <w:ind w:left="3631" w:hanging="360"/>
      </w:pPr>
      <w:rPr>
        <w:rFonts w:ascii="Courier New" w:hAnsi="Courier New" w:cs="Courier New" w:hint="default"/>
      </w:rPr>
    </w:lvl>
    <w:lvl w:ilvl="5" w:tplc="0C0A0005" w:tentative="1">
      <w:start w:val="1"/>
      <w:numFmt w:val="bullet"/>
      <w:lvlText w:val=""/>
      <w:lvlJc w:val="left"/>
      <w:pPr>
        <w:ind w:left="4351" w:hanging="360"/>
      </w:pPr>
      <w:rPr>
        <w:rFonts w:ascii="Wingdings" w:hAnsi="Wingdings" w:hint="default"/>
      </w:rPr>
    </w:lvl>
    <w:lvl w:ilvl="6" w:tplc="0C0A0001" w:tentative="1">
      <w:start w:val="1"/>
      <w:numFmt w:val="bullet"/>
      <w:lvlText w:val=""/>
      <w:lvlJc w:val="left"/>
      <w:pPr>
        <w:ind w:left="5071" w:hanging="360"/>
      </w:pPr>
      <w:rPr>
        <w:rFonts w:ascii="Symbol" w:hAnsi="Symbol" w:hint="default"/>
      </w:rPr>
    </w:lvl>
    <w:lvl w:ilvl="7" w:tplc="0C0A0003" w:tentative="1">
      <w:start w:val="1"/>
      <w:numFmt w:val="bullet"/>
      <w:lvlText w:val="o"/>
      <w:lvlJc w:val="left"/>
      <w:pPr>
        <w:ind w:left="5791" w:hanging="360"/>
      </w:pPr>
      <w:rPr>
        <w:rFonts w:ascii="Courier New" w:hAnsi="Courier New" w:cs="Courier New" w:hint="default"/>
      </w:rPr>
    </w:lvl>
    <w:lvl w:ilvl="8" w:tplc="0C0A0005" w:tentative="1">
      <w:start w:val="1"/>
      <w:numFmt w:val="bullet"/>
      <w:lvlText w:val=""/>
      <w:lvlJc w:val="left"/>
      <w:pPr>
        <w:ind w:left="6511" w:hanging="360"/>
      </w:pPr>
      <w:rPr>
        <w:rFonts w:ascii="Wingdings" w:hAnsi="Wingdings" w:hint="default"/>
      </w:rPr>
    </w:lvl>
  </w:abstractNum>
  <w:num w:numId="1">
    <w:abstractNumId w:val="0"/>
    <w:lvlOverride w:ilvl="0">
      <w:lvl w:ilvl="0">
        <w:numFmt w:val="bullet"/>
        <w:lvlText w:val=""/>
        <w:legacy w:legacy="1" w:legacySpace="0" w:legacyIndent="0"/>
        <w:lvlJc w:val="left"/>
        <w:rPr>
          <w:rFonts w:ascii="Symbol" w:hAnsi="Symbol" w:cs="Symbol" w:hint="default"/>
        </w:rPr>
      </w:lvl>
    </w:lvlOverride>
  </w:num>
  <w:num w:numId="2">
    <w:abstractNumId w:val="8"/>
  </w:num>
  <w:num w:numId="3">
    <w:abstractNumId w:val="10"/>
  </w:num>
  <w:num w:numId="4">
    <w:abstractNumId w:val="22"/>
  </w:num>
  <w:num w:numId="5">
    <w:abstractNumId w:val="7"/>
  </w:num>
  <w:num w:numId="6">
    <w:abstractNumId w:val="9"/>
  </w:num>
  <w:num w:numId="7">
    <w:abstractNumId w:val="23"/>
  </w:num>
  <w:num w:numId="8">
    <w:abstractNumId w:val="24"/>
  </w:num>
  <w:num w:numId="9">
    <w:abstractNumId w:val="12"/>
  </w:num>
  <w:num w:numId="10">
    <w:abstractNumId w:val="16"/>
  </w:num>
  <w:num w:numId="11">
    <w:abstractNumId w:val="18"/>
  </w:num>
  <w:num w:numId="12">
    <w:abstractNumId w:val="21"/>
  </w:num>
  <w:num w:numId="13">
    <w:abstractNumId w:val="31"/>
  </w:num>
  <w:num w:numId="14">
    <w:abstractNumId w:val="19"/>
  </w:num>
  <w:num w:numId="15">
    <w:abstractNumId w:val="6"/>
  </w:num>
  <w:num w:numId="16">
    <w:abstractNumId w:val="20"/>
  </w:num>
  <w:num w:numId="17">
    <w:abstractNumId w:val="17"/>
  </w:num>
  <w:num w:numId="18">
    <w:abstractNumId w:val="1"/>
  </w:num>
  <w:num w:numId="19">
    <w:abstractNumId w:val="13"/>
  </w:num>
  <w:num w:numId="20">
    <w:abstractNumId w:val="11"/>
  </w:num>
  <w:num w:numId="21">
    <w:abstractNumId w:val="30"/>
  </w:num>
  <w:num w:numId="22">
    <w:abstractNumId w:val="27"/>
  </w:num>
  <w:num w:numId="23">
    <w:abstractNumId w:val="15"/>
  </w:num>
  <w:num w:numId="24">
    <w:abstractNumId w:val="2"/>
  </w:num>
  <w:num w:numId="25">
    <w:abstractNumId w:val="4"/>
  </w:num>
  <w:num w:numId="26">
    <w:abstractNumId w:val="25"/>
  </w:num>
  <w:num w:numId="27">
    <w:abstractNumId w:val="29"/>
  </w:num>
  <w:num w:numId="28">
    <w:abstractNumId w:val="3"/>
  </w:num>
  <w:num w:numId="29">
    <w:abstractNumId w:val="5"/>
  </w:num>
  <w:num w:numId="30">
    <w:abstractNumId w:val="28"/>
  </w:num>
  <w:num w:numId="31">
    <w:abstractNumId w:val="26"/>
  </w:num>
  <w:num w:numId="32">
    <w:abstractNumId w:val="32"/>
  </w:num>
  <w:num w:numId="33">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3F55C3"/>
    <w:rsid w:val="00210FCA"/>
    <w:rsid w:val="00312860"/>
    <w:rsid w:val="003F55C3"/>
    <w:rsid w:val="00502450"/>
    <w:rsid w:val="0067288E"/>
    <w:rsid w:val="00831C48"/>
    <w:rsid w:val="00A36688"/>
    <w:rsid w:val="00AD1312"/>
    <w:rsid w:val="00BF0098"/>
    <w:rsid w:val="00DC5092"/>
    <w:rsid w:val="00FD1B46"/>
    <w:rsid w:val="00FD47F9"/>
  </w:rsids>
  <m:mathPr>
    <m:mathFont m:val="Cambria Math"/>
    <m:brkBin m:val="before"/>
    <m:brkBinSub m:val="--"/>
    <m:smallFrac m:val="off"/>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_trad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5C3"/>
    <w:rPr>
      <w:rFonts w:ascii="Calibri" w:eastAsia="Calibri" w:hAnsi="Calibri" w:cs="Times New Roman"/>
    </w:rPr>
  </w:style>
  <w:style w:type="paragraph" w:styleId="Ttulo5">
    <w:name w:val="heading 5"/>
    <w:basedOn w:val="Normal"/>
    <w:next w:val="Normal"/>
    <w:link w:val="Ttulo5Car"/>
    <w:qFormat/>
    <w:rsid w:val="003F55C3"/>
    <w:pPr>
      <w:spacing w:before="240" w:after="60" w:line="240" w:lineRule="auto"/>
      <w:outlineLvl w:val="4"/>
    </w:pPr>
    <w:rPr>
      <w:rFonts w:ascii="Times New Roman" w:eastAsia="Times New Roman" w:hAnsi="Times New Roman"/>
      <w:b/>
      <w:bCs/>
      <w:i/>
      <w:iCs/>
      <w:sz w:val="26"/>
      <w:szCs w:val="26"/>
      <w:lang w:val="es-ES" w:eastAsia="es-ES"/>
    </w:rPr>
  </w:style>
  <w:style w:type="paragraph" w:styleId="Ttulo6">
    <w:name w:val="heading 6"/>
    <w:basedOn w:val="Normal"/>
    <w:next w:val="Normal"/>
    <w:link w:val="Ttulo6Car"/>
    <w:qFormat/>
    <w:rsid w:val="003F55C3"/>
    <w:pPr>
      <w:spacing w:before="240" w:after="60" w:line="240" w:lineRule="auto"/>
      <w:outlineLvl w:val="5"/>
    </w:pPr>
    <w:rPr>
      <w:rFonts w:ascii="Times New Roman" w:eastAsia="Times New Roman" w:hAnsi="Times New Roman"/>
      <w:b/>
      <w:bCs/>
      <w:lang w:val="es-ES" w:eastAsia="es-ES"/>
    </w:rPr>
  </w:style>
  <w:style w:type="paragraph" w:styleId="Ttulo8">
    <w:name w:val="heading 8"/>
    <w:basedOn w:val="Normal"/>
    <w:next w:val="Normal"/>
    <w:link w:val="Ttulo8Car"/>
    <w:qFormat/>
    <w:rsid w:val="003F55C3"/>
    <w:pPr>
      <w:spacing w:before="240" w:after="60" w:line="240" w:lineRule="auto"/>
      <w:outlineLvl w:val="7"/>
    </w:pPr>
    <w:rPr>
      <w:rFonts w:ascii="Times New Roman" w:eastAsia="Times New Roman" w:hAnsi="Times New Roman"/>
      <w:i/>
      <w:iCs/>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3F55C3"/>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3F55C3"/>
    <w:rPr>
      <w:rFonts w:ascii="Times New Roman" w:eastAsia="Times New Roman" w:hAnsi="Times New Roman" w:cs="Times New Roman"/>
      <w:b/>
      <w:bCs/>
      <w:lang w:val="es-ES" w:eastAsia="es-ES"/>
    </w:rPr>
  </w:style>
  <w:style w:type="character" w:customStyle="1" w:styleId="Ttulo8Car">
    <w:name w:val="Título 8 Car"/>
    <w:basedOn w:val="Fuentedeprrafopredeter"/>
    <w:link w:val="Ttulo8"/>
    <w:rsid w:val="003F55C3"/>
    <w:rPr>
      <w:rFonts w:ascii="Times New Roman" w:eastAsia="Times New Roman" w:hAnsi="Times New Roman" w:cs="Times New Roman"/>
      <w:i/>
      <w:iCs/>
      <w:sz w:val="24"/>
      <w:szCs w:val="24"/>
      <w:lang w:val="es-ES" w:eastAsia="es-ES"/>
    </w:rPr>
  </w:style>
  <w:style w:type="paragraph" w:styleId="Prrafodelista">
    <w:name w:val="List Paragraph"/>
    <w:basedOn w:val="Normal"/>
    <w:uiPriority w:val="34"/>
    <w:qFormat/>
    <w:rsid w:val="003F55C3"/>
    <w:pPr>
      <w:ind w:left="720"/>
      <w:contextualSpacing/>
    </w:pPr>
  </w:style>
  <w:style w:type="paragraph" w:customStyle="1" w:styleId="Style">
    <w:name w:val="Style"/>
    <w:rsid w:val="003F55C3"/>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styleId="Textoindependiente">
    <w:name w:val="Body Text"/>
    <w:basedOn w:val="Normal"/>
    <w:link w:val="TextoindependienteCar"/>
    <w:rsid w:val="003F55C3"/>
    <w:pPr>
      <w:spacing w:after="120" w:line="240" w:lineRule="auto"/>
    </w:pPr>
    <w:rPr>
      <w:rFonts w:ascii="Times New Roman" w:eastAsia="Times New Roman" w:hAnsi="Times New Roman"/>
      <w:sz w:val="24"/>
      <w:szCs w:val="24"/>
      <w:lang w:val="en-US"/>
    </w:rPr>
  </w:style>
  <w:style w:type="character" w:customStyle="1" w:styleId="TextoindependienteCar">
    <w:name w:val="Texto independiente Car"/>
    <w:basedOn w:val="Fuentedeprrafopredeter"/>
    <w:link w:val="Textoindependiente"/>
    <w:rsid w:val="003F55C3"/>
    <w:rPr>
      <w:rFonts w:ascii="Times New Roman" w:eastAsia="Times New Roman" w:hAnsi="Times New Roman" w:cs="Times New Roman"/>
      <w:sz w:val="24"/>
      <w:szCs w:val="24"/>
      <w:lang w:val="en-US"/>
    </w:rPr>
  </w:style>
  <w:style w:type="paragraph" w:styleId="NormalWeb">
    <w:name w:val="Normal (Web)"/>
    <w:basedOn w:val="Normal"/>
    <w:rsid w:val="003F55C3"/>
    <w:pPr>
      <w:spacing w:before="60" w:after="100" w:afterAutospacing="1" w:line="360" w:lineRule="atLeast"/>
    </w:pPr>
    <w:rPr>
      <w:rFonts w:ascii="Verdana" w:eastAsia="Times New Roman" w:hAnsi="Verdana"/>
      <w:color w:val="000000"/>
      <w:sz w:val="18"/>
      <w:szCs w:val="18"/>
      <w:lang w:val="en-US"/>
    </w:rPr>
  </w:style>
  <w:style w:type="paragraph" w:customStyle="1" w:styleId="mmpara">
    <w:name w:val="mmpara"/>
    <w:basedOn w:val="Normal"/>
    <w:rsid w:val="003F55C3"/>
    <w:pPr>
      <w:spacing w:after="0" w:line="300" w:lineRule="atLeast"/>
    </w:pPr>
    <w:rPr>
      <w:rFonts w:ascii="Arial" w:eastAsia="Times New Roman" w:hAnsi="Arial" w:cs="Arial"/>
      <w:color w:val="000000"/>
      <w:sz w:val="17"/>
      <w:szCs w:val="17"/>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4F4F4"/>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9427C5-7BB6-46D0-A582-F888BB56D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7975</Words>
  <Characters>43867</Characters>
  <Application>Microsoft Office Word</Application>
  <DocSecurity>0</DocSecurity>
  <Lines>365</Lines>
  <Paragraphs>103</Paragraphs>
  <ScaleCrop>false</ScaleCrop>
  <HeadingPairs>
    <vt:vector size="2" baseType="variant">
      <vt:variant>
        <vt:lpstr>Título</vt:lpstr>
      </vt:variant>
      <vt:variant>
        <vt:i4>1</vt:i4>
      </vt:variant>
    </vt:vector>
  </HeadingPairs>
  <TitlesOfParts>
    <vt:vector size="1" baseType="lpstr">
      <vt:lpstr/>
    </vt:vector>
  </TitlesOfParts>
  <Company>Windows uE</Company>
  <LinksUpToDate>false</LinksUpToDate>
  <CharactersWithSpaces>51739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WinuE</dc:creator>
  <cp:keywords/>
  <dc:description/>
  <cp:lastModifiedBy>WinuE</cp:lastModifiedBy>
  <cp:revision>2</cp:revision>
  <dcterms:created xsi:type="dcterms:W3CDTF">2010-04-26T16:41:00Z</dcterms:created>
  <dcterms:modified xsi:type="dcterms:W3CDTF">2010-04-26T16:41:00Z</dcterms:modified>
</cp:coreProperties>
</file>